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SPMS — Updated Software Architecture Overview</w:t>
      </w:r>
    </w:p>
    <w:p>
      <w:pPr>
        <w:pStyle w:val="Subtitle"/>
      </w:pPr>
      <w:r>
        <w:t>SPMS-AO-001 | Version 1.2 | October 10, 2026 | DRAFT / NOT VERIFIED</w:t>
      </w:r>
    </w:p>
    <w:p>
      <w:pPr>
        <w:pStyle w:val="Heading1"/>
      </w:pPr>
      <w:r>
        <w:t>Architecture and trust boundaries</w:t>
      </w:r>
    </w:p>
    <w:p>
      <w:r>
        <w:t>Modular monolith using hexagonal (ports/adapters) design. Python domain owns all validation, alarm decisions and state transitions. React only renders authoritative backend state. SQLite stores simulation and separate security-audit events. Network deployments use HTTPS/WSS; local demonstration binds to loopback.</w:t>
      </w:r>
    </w:p>
    <w:p>
      <w:pPr>
        <w:spacing w:after="20"/>
      </w:pPr>
      <w:r>
        <w:t>BROWSER / REACT + TYPESCRIPT  [Observer / Operator UI; no authoritative alarm rules]</w:t>
      </w:r>
    </w:p>
    <w:p>
      <w:pPr>
        <w:spacing w:after="20"/>
      </w:pPr>
      <w:r>
        <w:t xml:space="preserve">          ⇅  REST commands + WSS state snapshots  |  TLS + session authorization boundary</w:t>
      </w:r>
    </w:p>
    <w:p>
      <w:pPr>
        <w:spacing w:after="20"/>
      </w:pPr>
      <w:r>
        <w:t>FASTAPI ADAPTER  [authentication • authorization • schema validation • request limits]</w:t>
      </w:r>
    </w:p>
    <w:p>
      <w:pPr>
        <w:spacing w:after="20"/>
      </w:pPr>
      <w:r>
        <w:t xml:space="preserve">          ↓  typed application commands</w:t>
      </w:r>
    </w:p>
    <w:p>
      <w:pPr>
        <w:spacing w:after="20"/>
      </w:pPr>
      <w:r>
        <w:t>APPLICATION  [Session Service • Monitoring Orchestrator • Event Service • State Publisher]</w:t>
      </w:r>
    </w:p>
    <w:p>
      <w:pPr>
        <w:spacing w:after="20"/>
      </w:pPr>
      <w:r>
        <w:t xml:space="preserve">          ↓  ports / pure Python rules</w:t>
      </w:r>
    </w:p>
    <w:p>
      <w:pPr>
        <w:spacing w:after="20"/>
      </w:pPr>
      <w:r>
        <w:t>DOMAIN  [measurement + timestamp validation • alarm state machine • stale-data evaluator]</w:t>
      </w:r>
    </w:p>
    <w:p>
      <w:pPr>
        <w:spacing w:after="20"/>
      </w:pPr>
      <w:r>
        <w:t xml:space="preserve">          ⇅  replaceable ports</w:t>
      </w:r>
    </w:p>
    <w:p>
      <w:pPr>
        <w:spacing w:after="20"/>
      </w:pPr>
      <w:r>
        <w:t>ADAPTERS  [synthetic/controlled sensor • system/fake clock • SQLite/in-memory repository]</w:t>
      </w:r>
    </w:p>
    <w:p>
      <w:pPr>
        <w:spacing w:after="20"/>
      </w:pPr>
      <w:r>
        <w:t xml:space="preserve">          ↘  monitoring events + security audit records  |  failure indicator on write error</w:t>
      </w:r>
    </w:p>
    <w:p>
      <w:pPr>
        <w:pStyle w:val="Heading1"/>
      </w:pPr>
      <w:r>
        <w:t>Communication and operational behavior</w:t>
      </w:r>
    </w:p>
    <w:p>
      <w:r>
        <w:t>REST: POST /sessions, /sessions/{id}/stop, /alarms/{episode}/acknowledge, /sensor/disconnect|reconnect; GET /sessions/{id}/state and /events. WSS: /ws/sessions/{id}/monitor publishes versioned snapshots. Authenticate and authorize both protocols. On reconnect, fetch a fresh state snapshot; distinguish network loss from sensor loss. Serialize state-changing commands per session to avoid races.</w:t>
      </w:r>
    </w:p>
    <w:p>
      <w:pPr>
        <w:pStyle w:val="Heading1"/>
      </w:pPr>
      <w:r>
        <w:t>Safety, privacy and cybersecurity controls</w:t>
      </w:r>
    </w:p>
    <w:p>
      <w:r>
        <w:t>Three consecutive valid SpO₂ values &lt;92% activate an alarm; three ≥92% clear it. Invalid/out-of-order data never replace accepted values. Acknowledgment does not clear the condition; disconnection preserves active alarms. Failed storage writes must not block alarm evaluation. Use synthetic measurements only; no real patient identifiers. Document data inventory, retention and GDPR applicability. Threat model API, WebSocket, local database, build pipeline and update mechanism; apply least privilege and redacted audit logging.</w:t>
      </w:r>
    </w:p>
    <w:p>
      <w:pPr>
        <w:pStyle w:val="Heading1"/>
      </w:pPr>
      <w:r>
        <w:t>Verification and lifecycle evidence</w:t>
      </w:r>
    </w:p>
    <w:p>
      <w:r>
        <w:t>TDD (red/green/refactor); pytest unit and HTTPX integration tests; Playwright browser/security workflows; Ruff, mypy and frontend linting; ≥90% Python statement coverage plus separately reported branch coverage. CI adds dependency/secret scanning, SBOM generation, security tests, traceability checks and retained release evidence. Track vulnerabilities, threat mitigations, updates and rollback.</w:t>
      </w:r>
    </w:p>
    <w:p>
      <w:pPr>
        <w:pStyle w:val="Heading1"/>
      </w:pPr>
      <w:r>
        <w:t>Regulatory positioning</w:t>
      </w:r>
    </w:p>
    <w:p>
      <w:r>
        <w:t>Architecture informed by FDA February 2026 premarket cybersecurity guidance (SPDF, threat modeling, security architecture views, testing and SBOM), MDCG 2019-16 (secure design and lifecycle risk), and GDPR Articles 5/25/32 if personal data processing is in scope. Regulatory obligations must be assessed independently; this prototype is not cleared, certified or demonstrated compliant.</w:t>
      </w:r>
    </w:p>
    <w:p>
      <w:r>
        <w:br w:type="page"/>
      </w:r>
    </w:p>
    <w:p>
      <w:pPr>
        <w:pStyle w:val="Title"/>
      </w:pPr>
      <w:r>
        <w:t>CONTROLLED REVISION ADDENDUM</w:t>
      </w:r>
    </w:p>
    <w:p>
      <w:r>
        <w:t>SPMS-AO-001 | Revision 1.2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Overview corrections</w:t>
      </w:r>
    </w:p>
    <w:p>
      <w:r>
        <w:t>Unique identifier SPMS-AO-001. Architecture: one authoritative single-process FastAPI backend, pure Python alarm domain, SQLite monitoring history and separate audit store, React as presentation only. No automatic session restoration on restart.</w:t>
      </w:r>
    </w:p>
    <w:p>
      <w:pPr>
        <w:pStyle w:val="Heading2"/>
      </w:pPr>
      <w:r>
        <w:t>Operational modes</w:t>
      </w:r>
    </w:p>
    <w:p>
      <w:r>
        <w:t>Local-only loopback demo uses explicit local operator context. Network demo uses HTTPS/WSS, authenticated Observer/Operator roles, per-session authorization and handshake/revalidation policies. Both modes display the active mode prominently.</w:t>
      </w:r>
    </w:p>
    <w:p>
      <w:pPr>
        <w:pStyle w:val="Heading2"/>
      </w:pPr>
      <w:r>
        <w:t>Failure behavior</w:t>
      </w:r>
    </w:p>
    <w:p>
      <w:r>
        <w:t>Missed scheduled readings reset pending alarm/recovery counts; duplicate/out-of-order readings do not. Event-store failure does not stop alarm evaluation but marks history incomplete. Audit-store failure denies accountable operator commands in network mode. Browser disconnect is distinct from sensor disconnect.</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headerReference w:type="default" r:id="rId9"/>
      <w:pgSz w:w="12240" w:h="15840"/>
      <w:pgMar w:top="547" w:right="1037" w:bottom="54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852"/>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85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