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Cybersecurity Risk Assessment</w:t>
      </w:r>
    </w:p>
    <w:p>
      <w:pPr>
        <w:pStyle w:val="Subtitle"/>
      </w:pPr>
      <w:r>
        <w:t>SPMS-CRA-001  |  Version 1.0  |  Preliminary threat and control assessment</w:t>
      </w:r>
    </w:p>
    <w:p>
      <w:pPr>
        <w:pStyle w:val="Caption"/>
      </w:pPr>
      <w:r>
        <w:t>SPMS  |  DRAFT — DESIGN-STAGE ASSESSMENT  |  10 October 2026</w:t>
      </w:r>
    </w:p>
    <w:p>
      <w:pPr>
        <w:pStyle w:val="Heading1"/>
      </w:pPr>
      <w:r>
        <w:t>1. Purpose and regulatory context</w:t>
      </w:r>
    </w:p>
    <w:p>
      <w:r>
        <w:t>This design-stage cybersecurity assessment applies to the local-first, synthetic-data-only SPMS prototype and proposed network-accessible demonstration mode. It uses STRIDE categories as a threat-identification aid and aligns proposed activities with the FDA February 2026 cybersecurity guidance and MDCG 2019-16. GDPR applicability must be assessed separately if identifiable operator or other personal data are processed. This document is not proof of compliance.</w:t>
      </w:r>
    </w:p>
    <w:p>
      <w:pPr>
        <w:pStyle w:val="Heading1"/>
      </w:pPr>
      <w:r>
        <w:t>2. Assets, entry points and trust boundaries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rPr>
                <w:sz w:val="15"/>
              </w:rPr>
              <w:t>Assets</w:t>
            </w:r>
          </w:p>
        </w:tc>
        <w:tc>
          <w:tcPr>
            <w:tcW w:type="dxa" w:w="3389"/>
          </w:tcPr>
          <w:p>
            <w:r>
              <w:rPr>
                <w:sz w:val="15"/>
              </w:rPr>
              <w:t>Entry points</w:t>
            </w:r>
          </w:p>
        </w:tc>
        <w:tc>
          <w:tcPr>
            <w:tcW w:type="dxa" w:w="3389"/>
          </w:tcPr>
          <w:p>
            <w:r>
              <w:rPr>
                <w:sz w:val="15"/>
              </w:rPr>
              <w:t>Trust boundary</w:t>
            </w:r>
          </w:p>
        </w:tc>
      </w:tr>
      <w:tr>
        <w:tc>
          <w:tcPr>
            <w:tcW w:type="dxa" w:w="3389"/>
          </w:tcPr>
          <w:p>
            <w:r>
              <w:rPr>
                <w:sz w:val="15"/>
              </w:rPr>
              <w:t>Authoritative session/alarm state</w:t>
            </w:r>
          </w:p>
        </w:tc>
        <w:tc>
          <w:tcPr>
            <w:tcW w:type="dxa" w:w="3389"/>
          </w:tcPr>
          <w:p>
            <w:r>
              <w:rPr>
                <w:sz w:val="15"/>
              </w:rPr>
              <w:t>REST commands, synthetic sensor adapter</w:t>
            </w:r>
          </w:p>
        </w:tc>
        <w:tc>
          <w:tcPr>
            <w:tcW w:type="dxa" w:w="3389"/>
          </w:tcPr>
          <w:p>
            <w:r>
              <w:rPr>
                <w:sz w:val="15"/>
              </w:rPr>
              <w:t>Browser / API / application domain</w:t>
            </w:r>
          </w:p>
        </w:tc>
      </w:tr>
      <w:tr>
        <w:tc>
          <w:tcPr>
            <w:tcW w:type="dxa" w:w="3389"/>
          </w:tcPr>
          <w:p>
            <w:r>
              <w:rPr>
                <w:sz w:val="15"/>
              </w:rPr>
              <w:t>Monitoring and security events</w:t>
            </w:r>
          </w:p>
        </w:tc>
        <w:tc>
          <w:tcPr>
            <w:tcW w:type="dxa" w:w="3389"/>
          </w:tcPr>
          <w:p>
            <w:r>
              <w:rPr>
                <w:sz w:val="15"/>
              </w:rPr>
              <w:t>Event-history API, SQLite files</w:t>
            </w:r>
          </w:p>
        </w:tc>
        <w:tc>
          <w:tcPr>
            <w:tcW w:type="dxa" w:w="3389"/>
          </w:tcPr>
          <w:p>
            <w:r>
              <w:rPr>
                <w:sz w:val="15"/>
              </w:rPr>
              <w:t>Application / persistent storage</w:t>
            </w:r>
          </w:p>
        </w:tc>
      </w:tr>
      <w:tr>
        <w:tc>
          <w:tcPr>
            <w:tcW w:type="dxa" w:w="3389"/>
          </w:tcPr>
          <w:p>
            <w:r>
              <w:rPr>
                <w:sz w:val="15"/>
              </w:rPr>
              <w:t>Operator identity and credentials</w:t>
            </w:r>
          </w:p>
        </w:tc>
        <w:tc>
          <w:tcPr>
            <w:tcW w:type="dxa" w:w="3389"/>
          </w:tcPr>
          <w:p>
            <w:r>
              <w:rPr>
                <w:sz w:val="15"/>
              </w:rPr>
              <w:t>Authentication endpoints, configuration</w:t>
            </w:r>
          </w:p>
        </w:tc>
        <w:tc>
          <w:tcPr>
            <w:tcW w:type="dxa" w:w="3389"/>
          </w:tcPr>
          <w:p>
            <w:r>
              <w:rPr>
                <w:sz w:val="15"/>
              </w:rPr>
              <w:t>Unauthenticated / authenticated</w:t>
            </w:r>
          </w:p>
        </w:tc>
      </w:tr>
      <w:tr>
        <w:tc>
          <w:tcPr>
            <w:tcW w:type="dxa" w:w="3389"/>
          </w:tcPr>
          <w:p>
            <w:r>
              <w:rPr>
                <w:sz w:val="15"/>
              </w:rPr>
              <w:t>Release integrity and dependencies</w:t>
            </w:r>
          </w:p>
        </w:tc>
        <w:tc>
          <w:tcPr>
            <w:tcW w:type="dxa" w:w="3389"/>
          </w:tcPr>
          <w:p>
            <w:r>
              <w:rPr>
                <w:sz w:val="15"/>
              </w:rPr>
              <w:t>CI jobs, package registries, update artifacts</w:t>
            </w:r>
          </w:p>
        </w:tc>
        <w:tc>
          <w:tcPr>
            <w:tcW w:type="dxa" w:w="3389"/>
          </w:tcPr>
          <w:p>
            <w:r>
              <w:rPr>
                <w:sz w:val="15"/>
              </w:rPr>
              <w:t>Development / build / deployment</w:t>
            </w:r>
          </w:p>
        </w:tc>
      </w:tr>
      <w:tr>
        <w:tc>
          <w:tcPr>
            <w:tcW w:type="dxa" w:w="3389"/>
          </w:tcPr>
          <w:p>
            <w:r>
              <w:rPr>
                <w:sz w:val="15"/>
              </w:rPr>
              <w:t>Live monitoring snapshots</w:t>
            </w:r>
          </w:p>
        </w:tc>
        <w:tc>
          <w:tcPr>
            <w:tcW w:type="dxa" w:w="3389"/>
          </w:tcPr>
          <w:p>
            <w:r>
              <w:rPr>
                <w:sz w:val="15"/>
              </w:rPr>
              <w:t>WebSocket subscription</w:t>
            </w:r>
          </w:p>
        </w:tc>
        <w:tc>
          <w:tcPr>
            <w:tcW w:type="dxa" w:w="3389"/>
          </w:tcPr>
          <w:p>
            <w:r>
              <w:rPr>
                <w:sz w:val="15"/>
              </w:rPr>
              <w:t>Backend / browser</w:t>
            </w:r>
          </w:p>
        </w:tc>
      </w:tr>
    </w:tbl>
    <w:p>
      <w:pPr>
        <w:pStyle w:val="Heading1"/>
      </w:pPr>
      <w:r>
        <w:t>3. Preliminary cybersecurity risk register</w:t>
      </w:r>
    </w:p>
    <w:p>
      <w:pPr>
        <w:pStyle w:val="Heading2"/>
      </w:pPr>
      <w:r>
        <w:t>CYB-01 — Spoofing: Unauthenticated operator request</w:t>
      </w:r>
    </w:p>
    <w:p>
      <w:r>
        <w:t>Attack surface: API command routes.  Potential effect: Unauthorized start/stop/acknowledgment.</w:t>
      </w:r>
    </w:p>
    <w:p>
      <w:r>
        <w:t>Proposed mitigation / trace: SEC-001, SEC-002; authenticated identity, role checks.  Planned verification: T-SEC-01.  Preliminary priority: High.  Residual risk: NOT ASSESSED; implementation and testing pending.</w:t>
      </w:r>
    </w:p>
    <w:p>
      <w:pPr>
        <w:pStyle w:val="Heading2"/>
      </w:pPr>
      <w:r>
        <w:t>CYB-02 — Tampering: Forged/invalid measurements</w:t>
      </w:r>
    </w:p>
    <w:p>
      <w:r>
        <w:t>Attack surface: Sensor adapter / input API.  Potential effect: Incorrect displayed readings or alarm transitions.</w:t>
      </w:r>
    </w:p>
    <w:p>
      <w:r>
        <w:t>Proposed mitigation / trace: SEC-004, SEC-011; validation and restricted injection.  Planned verification: T-SEC-02.  Preliminary priority: High.  Residual risk: NOT ASSESSED; implementation and testing pending.</w:t>
      </w:r>
    </w:p>
    <w:p>
      <w:pPr>
        <w:pStyle w:val="Heading2"/>
      </w:pPr>
      <w:r>
        <w:t>CYB-03 — Repudiation: Denied alarm acknowledgment</w:t>
      </w:r>
    </w:p>
    <w:p>
      <w:r>
        <w:t>Attack surface: Command and audit trail.  Potential effect: No accountable action history.</w:t>
      </w:r>
    </w:p>
    <w:p>
      <w:r>
        <w:t>Proposed mitigation / trace: SEC-005, SEC-014; separate redacted audit events.  Planned verification: T-SEC-03.  Preliminary priority: Medium.  Residual risk: NOT ASSESSED; implementation and testing pending.</w:t>
      </w:r>
    </w:p>
    <w:p>
      <w:pPr>
        <w:pStyle w:val="Heading2"/>
      </w:pPr>
      <w:r>
        <w:t>CYB-04 — Information disclosure: Unauthorized event access</w:t>
      </w:r>
    </w:p>
    <w:p>
      <w:r>
        <w:t>Attack surface: REST event history / SQLite.  Potential effect: Exposure of metadata or operator identity.</w:t>
      </w:r>
    </w:p>
    <w:p>
      <w:r>
        <w:t>Proposed mitigation / trace: SEC-002, SEC-006, PRIV-004/005.  Planned verification: T-SEC-04.  Preliminary priority: Medium.  Residual risk: NOT ASSESSED; implementation and testing pending.</w:t>
      </w:r>
    </w:p>
    <w:p>
      <w:pPr>
        <w:pStyle w:val="Heading2"/>
      </w:pPr>
      <w:r>
        <w:t>CYB-05 — Denial of service: Flooded requests or WS connections</w:t>
      </w:r>
    </w:p>
    <w:p>
      <w:r>
        <w:t>Attack surface: API / WebSocket.  Potential effect: Delayed or interrupted state delivery.</w:t>
      </w:r>
    </w:p>
    <w:p>
      <w:r>
        <w:t>Proposed mitigation / trace: SEC-004, SEC-011, SEC-016; bounded inputs, limits, disconnect warning.  Planned verification: T-SEC-06.  Preliminary priority: High.  Residual risk: NOT ASSESSED; implementation and testing pending.</w:t>
      </w:r>
    </w:p>
    <w:p>
      <w:pPr>
        <w:pStyle w:val="Heading2"/>
      </w:pPr>
      <w:r>
        <w:t>CYB-06 — Elevation of privilege: Observer issues operator command</w:t>
      </w:r>
    </w:p>
    <w:p>
      <w:r>
        <w:t>Attack surface: Backend authorization boundary.  Potential effect: Unauthorized control of simulation.</w:t>
      </w:r>
    </w:p>
    <w:p>
      <w:r>
        <w:t>Proposed mitigation / trace: SEC-002, SEC-013.  Planned verification: T-SEC-07.  Preliminary priority: High.  Residual risk: NOT ASSESSED; implementation and testing pending.</w:t>
      </w:r>
    </w:p>
    <w:p>
      <w:pPr>
        <w:pStyle w:val="Heading2"/>
      </w:pPr>
      <w:r>
        <w:t>CYB-07 — Supply chain compromise: Vulnerable Python/JS dependency</w:t>
      </w:r>
    </w:p>
    <w:p>
      <w:r>
        <w:t>Attack surface: Build and deployment.  Potential effect: Compromised application integrity.</w:t>
      </w:r>
    </w:p>
    <w:p>
      <w:r>
        <w:t>Proposed mitigation / trace: SEC-007/008/012; scans, SBOM, triage.  Planned verification: T-CI-01.  Preliminary priority: High.  Residual risk: NOT ASSESSED; implementation and testing pending.</w:t>
      </w:r>
    </w:p>
    <w:p>
      <w:pPr>
        <w:pStyle w:val="Heading2"/>
      </w:pPr>
      <w:r>
        <w:t>CYB-08 — Transport interception: Remote plaintext API/WS</w:t>
      </w:r>
    </w:p>
    <w:p>
      <w:r>
        <w:t>Attack surface: Browser ↔ backend.  Potential effect: Read/alter monitoring messages.</w:t>
      </w:r>
    </w:p>
    <w:p>
      <w:r>
        <w:t>Proposed mitigation / trace: SEC-003; TLS and loopback default.  Planned verification: T-SEC-08.  Preliminary priority: High.  Residual risk: NOT ASSESSED; implementation and testing pending.</w:t>
      </w:r>
    </w:p>
    <w:p>
      <w:pPr>
        <w:pStyle w:val="Heading2"/>
      </w:pPr>
      <w:r>
        <w:t>CYB-09 — Secrets exposure: Credential in source/logs</w:t>
      </w:r>
    </w:p>
    <w:p>
      <w:r>
        <w:t>Attack surface: CI, config, logs.  Potential effect: Account compromise.</w:t>
      </w:r>
    </w:p>
    <w:p>
      <w:r>
        <w:t>Proposed mitigation / trace: SEC-005/006, PRIV-005; secrets scan, redaction.  Planned verification: T-CI-02.  Preliminary priority: Medium.  Residual risk: NOT ASSESSED; implementation and testing pending.</w:t>
      </w:r>
    </w:p>
    <w:p>
      <w:pPr>
        <w:pStyle w:val="Heading2"/>
      </w:pPr>
      <w:r>
        <w:t>CYB-10 — Stale/replayed command: Old alarm episode acknowledged</w:t>
      </w:r>
    </w:p>
    <w:p>
      <w:r>
        <w:t>Attack surface: Alarm endpoint.  Potential effect: Wrong episode state modified.</w:t>
      </w:r>
    </w:p>
    <w:p>
      <w:r>
        <w:t>Proposed mitigation / trace: SEC-014; episode-bound acknowledgment.  Planned verification: T-SEC-05.  Preliminary priority: High.  Residual risk: NOT ASSESSED; implementation and testing pending.</w:t>
      </w:r>
    </w:p>
    <w:p>
      <w:pPr>
        <w:pStyle w:val="Heading2"/>
      </w:pPr>
      <w:r>
        <w:t>CYB-11 — Malicious update: Modified release artifact</w:t>
      </w:r>
    </w:p>
    <w:p>
      <w:r>
        <w:t>Attack surface: Release pipeline.  Potential effect: Untrusted executable deployed.</w:t>
      </w:r>
    </w:p>
    <w:p>
      <w:r>
        <w:t>Proposed mitigation / trace: SEC-015; integrity verification and rollback.  Planned verification: T-REL-01.  Preliminary priority: High.  Residual risk: NOT ASSESSED; implementation and testing pending.</w:t>
      </w:r>
    </w:p>
    <w:p>
      <w:pPr>
        <w:pStyle w:val="Heading2"/>
      </w:pPr>
      <w:r>
        <w:t>CYB-12 — Loss of audit availability: DB write failure</w:t>
      </w:r>
    </w:p>
    <w:p>
      <w:r>
        <w:t>Attack surface: Persistence boundary.  Potential effect: Missing accountability and false success indication.</w:t>
      </w:r>
    </w:p>
    <w:p>
      <w:r>
        <w:t>Proposed mitigation / trace: SF-005, SEC-005; visible failure flag.  Planned verification: T-STORE-01.  Preliminary priority: Medium.  Residual risk: NOT ASSESSED; implementation and testing pending.</w:t>
      </w:r>
    </w:p>
    <w:p>
      <w:pPr>
        <w:pStyle w:val="Heading1"/>
      </w:pPr>
      <w:r>
        <w:t>4. Secure development and supply-chain controls</w:t>
      </w:r>
    </w:p>
    <w:p>
      <w:r>
        <w:t>The development process shall include code review, Ruff/mypy, static security analysis, secret scanning, dependency vulnerability scans, machine-readable SBOMs, controlled updates/rollback, and retention of CI evidence tied to source revision. A vulnerability record should capture affected component, exploitability, impact on simulated safety functions, mitigation, owner, disposition, and re-test results.</w:t>
      </w:r>
    </w:p>
    <w:p>
      <w:pPr>
        <w:pStyle w:val="Heading1"/>
      </w:pPr>
      <w:r>
        <w:t>5. Security testing and acceptance</w:t>
      </w:r>
    </w:p>
    <w:p>
      <w:r>
        <w:t>Security verification shall cover authentication, role-based authorization, cross-session access, alarm-episode binding, malicious input, replay, transport configuration, storage failures, connection loss, logging redaction, and dependency/update integrity. Security testing is additional to the 90% Python statement coverage quality gate; coverage alone is not a cybersecurity acceptance criterion.</w:t>
      </w:r>
    </w:p>
    <w:p>
      <w:pPr>
        <w:pStyle w:val="Heading1"/>
      </w:pPr>
      <w:r>
        <w:t>6. Privacy and operational assumptions</w:t>
      </w:r>
    </w:p>
    <w:p>
      <w:r>
        <w:t>No real patient data is permitted. Network exposure is disabled by default; local mode binds to loopback. A network deployment requires authenticated access and HTTPS/WSS. Data inventory, retention, access to logs, and GDPR applicability must be reviewed if operator accounts, IP addresses, or identifiable metadata are introduced. Do not infer GDPR non-applicability solely from synthetic physiological data.</w:t>
      </w:r>
    </w:p>
    <w:p>
      <w:pPr>
        <w:pStyle w:val="Heading1"/>
      </w:pPr>
      <w:r>
        <w:t>7. Open decisions and sign-off</w:t>
      </w:r>
    </w:p>
    <w:p>
      <w:pPr>
        <w:pStyle w:val="ListBullet"/>
      </w:pPr>
      <w:r>
        <w:t>Approve threat-model boundary and operator authentication mechanism.</w:t>
      </w:r>
    </w:p>
    <w:p>
      <w:pPr>
        <w:pStyle w:val="ListBullet"/>
      </w:pPr>
      <w:r>
        <w:t>Define security risk scoring, acceptance thresholds and reviewer roles.</w:t>
      </w:r>
    </w:p>
    <w:p>
      <w:pPr>
        <w:pStyle w:val="ListBullet"/>
      </w:pPr>
      <w:r>
        <w:t>Specify security log retention, storage permissions and backup/deletion rules.</w:t>
      </w:r>
    </w:p>
    <w:p>
      <w:pPr>
        <w:pStyle w:val="ListBullet"/>
      </w:pPr>
      <w:r>
        <w:t>Define update integrity verification and recovery exercise.</w:t>
      </w:r>
    </w:p>
    <w:p>
      <w:pPr>
        <w:pStyle w:val="ListBullet"/>
      </w:pPr>
      <w:r>
        <w:t>Reconcile planned test IDs with executable tests and record results.</w:t>
      </w:r>
    </w:p>
    <w:p>
      <w:pPr>
        <w:pStyle w:val="ListBullet"/>
      </w:pPr>
      <w:r>
        <w:t>Reassess threat model after deployment-mode or data-scope changes.</w:t>
      </w:r>
    </w:p>
    <w:p>
      <w:r>
        <w:t>Status: DRAFT / OPEN. No cybersecurity controls have been represented as implemented, tested, or accepted.</w:t>
      </w:r>
    </w:p>
    <w:p>
      <w:pPr>
        <w:pStyle w:val="Heading1"/>
      </w:pPr>
      <w:r>
        <w:t>8. Reference baseline</w:t>
      </w:r>
    </w:p>
    <w:p>
      <w:r>
        <w:t>SPMS Requirements v1.1 (SEC-001–016; PRIV-001–008; relevant FR/SF controls); SPMS Software Architecture Description v1.2; FDA Cybersecurity in Medical Devices guidance issued February 3, 2026; MDCG 2019-16; Regulation (EU) 2016/679 (GDPR).</w:t>
      </w:r>
    </w:p>
    <w:p>
      <w:r>
        <w:br w:type="page"/>
      </w:r>
    </w:p>
    <w:p>
      <w:pPr>
        <w:pStyle w:val="Title"/>
      </w:pPr>
      <w:r>
        <w:t>CONTROLLED REVISION ADDENDUM</w:t>
      </w:r>
    </w:p>
    <w:p>
      <w:r>
        <w:t>SPMS-CRA-001 | Revision 1.1 | 10 October 2026 | Status: PROPOSED / NOT VERIFIED</w:t>
      </w:r>
    </w:p>
    <w:p>
      <w:r>
        <w:t>This addendum is the controlling revision for the design decisions below. Original material is retained for traceable review; contradictory earlier language is superseded by this addendum. Formal approval is outstanding.</w:t>
      </w:r>
    </w:p>
    <w:p>
      <w:pPr>
        <w:pStyle w:val="Heading2"/>
      </w:pPr>
      <w:r>
        <w:t>Applicability and status</w:t>
      </w:r>
    </w:p>
    <w:p>
      <w:r>
        <w:t>Educational synthetic-data-only simulator; no real patient monitoring or clinical use. FDA Class II is a hypothetical development context, not a classification determination. FDA February 2026 cybersecurity guidance and MDCG 2019-16 are guidance; GDPR is applicable only if its jurisdictional and personal-data conditions are met. IEC 62304 and ISO 14971 are reference frameworks, not verified conformities. All controls and tests remain PROPOSED / NOT VERIFIED.</w:t>
      </w:r>
    </w:p>
    <w:p>
      <w:pPr>
        <w:pStyle w:val="Heading2"/>
      </w:pPr>
      <w:r>
        <w:t>Baseline precedence</w:t>
      </w:r>
    </w:p>
    <w:p>
      <w:r>
        <w:t>This controlled revision addendum supersedes conflicting text in earlier sections of this document. Requirement changes require approval and synchronized changes to SAD, SDD, STP, risk registers and RTM. No implemented behavior, completed verification or accepted residual risk is implied.</w:t>
      </w:r>
    </w:p>
    <w:p>
      <w:pPr>
        <w:pStyle w:val="Heading2"/>
      </w:pPr>
      <w:r>
        <w:t>Common decisions CD-01 to CD-05</w:t>
      </w:r>
    </w:p>
    <w:p>
      <w:r>
        <w:t>CD-01: one backend process, one active session per simulated patient; multiworker deployment unsupported. CD-02: monitoring state is in-memory and does not automatically resume after crash; previous event records are retained if readable. CD-03: sensor disconnect and browser transport disconnect are distinct; both are visibly indicated. CD-04: alarm evaluation continues despite monitoring-event write failure, but history is flagged INCOMPLETE and write failures are recorded when feasible. CD-05: network-accessible mode requires HTTPS/WSS, authenticated operator/observer roles, backend authorization, and per-session checks; local mode binds only to 127.0.0.1 and uses a documented local operator context without network exposure.</w:t>
      </w:r>
    </w:p>
    <w:p>
      <w:pPr>
        <w:pStyle w:val="Heading2"/>
      </w:pPr>
      <w:r>
        <w:t>Threat model methodology</w:t>
      </w:r>
    </w:p>
    <w:p>
      <w:r>
        <w:t>For each STRIDE scenario record affected asset, trust boundary, attacker capability, preconditions, attack path, impact on integrity/availability/confidentiality and simulated safety function, security control, verification, exploitability rationale, residual disposition and owner. High/Medium priorities in original register are triage only, not accepted residual risk.</w:t>
      </w:r>
    </w:p>
    <w:p>
      <w:pPr>
        <w:pStyle w:val="Heading2"/>
      </w:pPr>
      <w:r>
        <w:t>Cybersecurity control mapping</w:t>
      </w:r>
    </w:p>
    <w:p>
      <w:r>
        <w:t>CYB-01 =&gt; RC-CYB-001 auth and role enforcement (SEC-001/002; TC-CL-008). CYB-02 =&gt; RC-CYB-002 restricted injection/validation (SEC-004/011; TC-SEC-02). CYB-03 =&gt; RC-CYB-003 durable accountable audit (SEC-005/014; TC-CL-007). CYB-04 =&gt; RC-CYB-004 per-session access and retention (SEC-002/006; TC-SEC-04). CYB-05 =&gt; RC-CYB-005 bounded requests and visible disconnect (SEC-011/016; TC-SEC-06). CYB-06 =&gt; RC-CYB-006 least privilege (SEC-002/013; TC-CL-008).</w:t>
      </w:r>
    </w:p>
    <w:p>
      <w:pPr>
        <w:pStyle w:val="Heading2"/>
      </w:pPr>
      <w:r>
        <w:t>Further controls</w:t>
      </w:r>
    </w:p>
    <w:p>
      <w:r>
        <w:t>CYB-07 =&gt; RC-CYB-007 dependency scan and SBOM (SEC-007/008/012; TC-CL-011). CYB-08 =&gt; RC-CYB-008 HTTPS/WSS in network mode (SEC-003; TC-SEC-08). CYB-09 =&gt; RC-CYB-009 secrets handling/redaction (SEC-005/006; TC-PRIV-005). CYB-10 =&gt; RC-CYB-010 episode-bound idempotency/replay checks (SEC-014; TC-SEC-05). CYB-11 =&gt; RC-CYB-011 release integrity/rollback (SEC-015; TC-REL-01). CYB-12 =&gt; RC-CYB-012 audit health and failure policy (SEC-005; TC-CL-007).</w:t>
      </w:r>
    </w:p>
    <w:p>
      <w:pPr>
        <w:pStyle w:val="Heading2"/>
      </w:pPr>
      <w:r>
        <w:t>Vulnerability management and privacy</w:t>
      </w:r>
    </w:p>
    <w:p>
      <w:r>
        <w:t>Triage findings by exploitability, affected deployment mode, safety-function effect and available fix; record owner, decision, due date and retest. Document coordinated vulnerability disclosure process and maintenance support assumptions before any external distribution. Inventory operator accounts, IP addresses and logs; determine GDPR applicability independently. No risk is yet accepted.</w:t>
      </w:r>
    </w:p>
    <w:p>
      <w:pPr>
        <w:pStyle w:val="Heading2"/>
      </w:pPr>
      <w:r>
        <w:t>Approval and evidence status</w:t>
      </w:r>
    </w:p>
    <w:p>
      <w:r>
        <w:t>Prepared for mentor/engineering review. Owner approval: PENDING. Implementation: NOT STARTED. Verification: NOT RUN. Risk acceptance: NOT ASSESSED. Regulatory conformity: NOT CLAIMED.</w:t>
      </w:r>
    </w:p>
    <w:sectPr w:rsidR="00FC693F" w:rsidRPr="0006063C" w:rsidSect="00034616">
      <w:footerReference w:type="default" r:id="rId9"/>
      <w:headerReference w:type="default" r:id="rId10"/>
      <w:pgSz w:w="12240" w:h="15840"/>
      <w:pgMar w:top="1008" w:right="1037" w:bottom="936"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Educational simulation • Synthetic data only • Not for clinical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SPMS | CONTROLLED ENGINEERING DRAFT | NOT VERIFIED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36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365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036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