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 Management Plan</w:t>
      </w:r>
    </w:p>
    <w:p>
      <w:r>
        <w:t>SPMS-RMP-001 | Version 1.0 | 10 October 2026 | PROPOSED / NOT APPROVED</w:t>
      </w:r>
    </w:p>
    <w:p>
      <w:pPr>
        <w:pStyle w:val="Heading2"/>
      </w:pPr>
      <w:r>
        <w:t>Purpose and boundaries</w:t>
      </w:r>
    </w:p>
    <w:p>
      <w:r>
        <w:t>Risk management covers misleading simulation outcomes, foreseeable misuse, security threats affecting simulated safety functions, availability, data integrity and operator metadata. Clinical patient harm is hypothetical only because actual patient monitoring is excluded.</w:t>
      </w:r>
    </w:p>
    <w:p>
      <w:pPr>
        <w:pStyle w:val="Heading2"/>
      </w:pPr>
      <w:r>
        <w:t>Method</w:t>
      </w:r>
    </w:p>
    <w:p>
      <w:r>
        <w:t>Identify hazard or threat; initiating causes/attack paths; sequence; hazardous situation; consequences; initial likelihood and severity; control selection; implementation and effectiveness verification; newly introduced risks; residual assessment; decision and approval. Keep safety and cybersecurity analyses linked but not conflated.</w:t>
      </w:r>
    </w:p>
    <w:p>
      <w:pPr>
        <w:pStyle w:val="Heading2"/>
      </w:pPr>
      <w:r>
        <w:t>Draft risk scales</w:t>
      </w:r>
    </w:p>
    <w:p>
      <w:r>
        <w:t>S1 = minor demonstration confusion; S2 = material incorrect demonstration/engineering conclusion; S3 = foreseeable use outside simulation boundary. L1 = unlikely; L2 = plausible; L3 = frequent in intended testing. HIGH if S3 or S2×L3; MEDIUM if S2×L2 or S1×L3; LOW otherwise. These scales are PROPOSED, not approved, and should be revised with mentor input before acceptance.</w:t>
      </w:r>
    </w:p>
    <w:p>
      <w:pPr>
        <w:pStyle w:val="Heading2"/>
      </w:pPr>
      <w:r>
        <w:t>Control hierarchy and evidence</w:t>
      </w:r>
    </w:p>
    <w:p>
      <w:r>
        <w:t>Prefer inherent design prevention, then protective controls, then warnings/information. Each RC-SAF or RC-CYB ID maps to risk ID, requirement, design implementation, executable test, test result and revision. Evaluate new risks introduced by controls. Code coverage is not a risk-control verification substitute.</w:t>
      </w:r>
    </w:p>
    <w:p>
      <w:pPr>
        <w:pStyle w:val="Heading2"/>
      </w:pPr>
      <w:r>
        <w:t>Residual risk and review</w:t>
      </w:r>
    </w:p>
    <w:p>
      <w:r>
        <w:t>All existing HAZ-01..10 and CYB-01..12 remain OPEN. No residual risk accepted until controls are implemented, tested and reviewed. Record rationale, responsible approver, date, exceptions, and review triggers such as new vulnerability, deployment change or failure report.</w:t>
      </w:r>
    </w:p>
    <w:p>
      <w:pPr>
        <w:pStyle w:val="Heading2"/>
      </w:pPr>
      <w:r>
        <w:t>Data privacy and cybersecurity</w:t>
      </w:r>
    </w:p>
    <w:p>
      <w:r>
        <w:t>Security risk scoring considers attacker capability and exploitability separately from safety consequences; document bridge where a security event causes an alarm-state failure. Inventory personal metadata and assess GDPR applicability before network deployments.</w:t>
      </w:r>
    </w:p>
    <w:p>
      <w:pPr>
        <w:pStyle w:val="Heading2"/>
      </w:pPr>
      <w:r>
        <w:t>Review record</w:t>
      </w:r>
    </w:p>
    <w:p>
      <w:r>
        <w:t>Owner: TBD | Reviewer: TBD | Approval date: PENDING | Evidence status: NOT RUN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SPMS | CONTROLLED ENGINEERING DRAFT | NOT VERIFIED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