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Simulated Patient Monitoring System</w:t>
      </w:r>
    </w:p>
    <w:p>
      <w:r>
        <w:t>Software Architecture Description (SAD-001)</w:t>
      </w:r>
    </w:p>
    <w:p>
      <w:r>
        <w:t>Version 1.2 — Proposed for engineering review  |  10 October 2026</w:t>
      </w:r>
    </w:p>
    <w:p>
      <w:r>
        <w:t>Basis: SPMS Requirements v1.1 (FR/SF/AR/QA/DOC plus SEC/PRIV addendum) and SPMS Architecture Overview v1.1.</w:t>
      </w:r>
    </w:p>
    <w:p>
      <w:r>
        <w:t>Regulatory positioning: educational, synthetic-data-only prototype; assumed FDA Class II development context. No claim of FDA clearance, EU MDR conformity, GDPR compliance, or clinical suitability.</w:t>
      </w:r>
    </w:p>
    <w:p>
      <w:pPr>
        <w:pStyle w:val="Heading1"/>
      </w:pPr>
      <w:r>
        <w:t>Document control</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Field</w:t>
            </w:r>
          </w:p>
        </w:tc>
        <w:tc>
          <w:tcPr>
            <w:tcW w:type="dxa" w:w="4939"/>
          </w:tcPr>
          <w:p>
            <w:r>
              <w:t>Value</w:t>
            </w:r>
          </w:p>
        </w:tc>
      </w:tr>
      <w:tr>
        <w:tc>
          <w:tcPr>
            <w:tcW w:type="dxa" w:w="4939"/>
          </w:tcPr>
          <w:p>
            <w:r>
              <w:t>Status</w:t>
            </w:r>
          </w:p>
        </w:tc>
        <w:tc>
          <w:tcPr>
            <w:tcW w:type="dxa" w:w="4939"/>
          </w:tcPr>
          <w:p>
            <w:r>
              <w:t>Proposed architecture; not yet implemented or verified</w:t>
            </w:r>
          </w:p>
        </w:tc>
      </w:tr>
      <w:tr>
        <w:tc>
          <w:tcPr>
            <w:tcW w:type="dxa" w:w="4939"/>
          </w:tcPr>
          <w:p>
            <w:r>
              <w:t>Owner</w:t>
            </w:r>
          </w:p>
        </w:tc>
        <w:tc>
          <w:tcPr>
            <w:tcW w:type="dxa" w:w="4939"/>
          </w:tcPr>
          <w:p>
            <w:r>
              <w:t>Project engineering team</w:t>
            </w:r>
          </w:p>
        </w:tc>
      </w:tr>
      <w:tr>
        <w:tc>
          <w:tcPr>
            <w:tcW w:type="dxa" w:w="4939"/>
          </w:tcPr>
          <w:p>
            <w:r>
              <w:t>Baseline</w:t>
            </w:r>
          </w:p>
        </w:tc>
        <w:tc>
          <w:tcPr>
            <w:tcW w:type="dxa" w:w="4939"/>
          </w:tcPr>
          <w:p>
            <w:r>
              <w:t>Requirements v1.1; changes controlled through review</w:t>
            </w:r>
          </w:p>
        </w:tc>
      </w:tr>
      <w:tr>
        <w:tc>
          <w:tcPr>
            <w:tcW w:type="dxa" w:w="4939"/>
          </w:tcPr>
          <w:p>
            <w:r>
              <w:t>Audience</w:t>
            </w:r>
          </w:p>
        </w:tc>
        <w:tc>
          <w:tcPr>
            <w:tcW w:type="dxa" w:w="4939"/>
          </w:tcPr>
          <w:p>
            <w:r>
              <w:t>Developers, testers, security reviewers, mentor/evaluator</w:t>
            </w:r>
          </w:p>
        </w:tc>
      </w:tr>
      <w:tr>
        <w:tc>
          <w:tcPr>
            <w:tcW w:type="dxa" w:w="4939"/>
          </w:tcPr>
          <w:p>
            <w:r>
              <w:t>Scope</w:t>
            </w:r>
          </w:p>
        </w:tc>
        <w:tc>
          <w:tcPr>
            <w:tcW w:type="dxa" w:w="4939"/>
          </w:tcPr>
          <w:p>
            <w:r>
              <w:t>Single simulated patient per monitoring session; local-first demonstration</w:t>
            </w:r>
          </w:p>
        </w:tc>
      </w:tr>
    </w:tbl>
    <w:p>
      <w:pPr>
        <w:pStyle w:val="Heading1"/>
      </w:pPr>
      <w:r>
        <w:t>1. Purpose, scope, and architectural drivers</w:t>
      </w:r>
    </w:p>
    <w:p>
      <w:r>
        <w:t>This document defines component responsibilities, dependency rules, runtime data flows, interfaces, persistence, trust boundaries, failure handling, verification strategy, and security/privacy lifecycle evidence. It translates the requirements baseline into an implementable design without changing the original acceptance criteria.</w:t>
      </w:r>
    </w:p>
    <w:p>
      <w:pPr>
        <w:pStyle w:val="ListBullet"/>
      </w:pPr>
      <w:r>
        <w:t>FR-001–FR-016: scheduled synthetic readings, validation, alarm logic, stale-data handling, event history and session resets.</w:t>
      </w:r>
    </w:p>
    <w:p>
      <w:pPr>
        <w:pStyle w:val="ListBullet"/>
      </w:pPr>
      <w:r>
        <w:t>SF-001–SF-006: conspicuous simulation labeling, text-based state indicators, safe failure behavior, risk-control verification.</w:t>
      </w:r>
    </w:p>
    <w:p>
      <w:pPr>
        <w:pStyle w:val="ListBullet"/>
      </w:pPr>
      <w:r>
        <w:t>AR-001–AR-006: Python domain independence, replaceable ports, frontend presentation only, linting and reproducible dependencies.</w:t>
      </w:r>
    </w:p>
    <w:p>
      <w:pPr>
        <w:pStyle w:val="ListBullet"/>
      </w:pPr>
      <w:r>
        <w:t>QA-001–QA-008: TDD, unit/integration/browser tests, ≥90% maintained Python statement coverage, separately reported branch coverage and CI evidence.</w:t>
      </w:r>
    </w:p>
    <w:p>
      <w:pPr>
        <w:pStyle w:val="ListBullet"/>
      </w:pPr>
      <w:r>
        <w:t>SEC-001–SEC-016 and PRIV-001–PRIV-008: proposed cybersecurity and privacy-by-design requirements added in v1.1.</w:t>
      </w:r>
    </w:p>
    <w:p>
      <w:pPr>
        <w:pStyle w:val="Heading1"/>
      </w:pPr>
      <w:r>
        <w:t>2. Architecture style and deployment</w:t>
      </w:r>
    </w:p>
    <w:p>
      <w:r>
        <w:t>Selected style: modular monolith with ports-and-adapters (hexagonal) boundaries. One FastAPI process hosts API adapters and application services; the domain is pure Python; React/TypeScript is a separate browser client; SQLite persists monitoring and security audit events. The initial system runs locally and binds to loopback. Network deployment is a separately configured mode requiring TLS and authorization.</w:t>
      </w:r>
    </w:p>
    <w:p>
      <w:pPr>
        <w:pStyle w:val="NoSpacing"/>
        <w:ind w:left="216"/>
      </w:pPr>
      <w:r>
        <w:rPr>
          <w:rFonts w:ascii="Consolas" w:hAnsi="Consolas"/>
          <w:sz w:val="15"/>
        </w:rPr>
        <w:t>BROWSER (React/TypeScript)</w:t>
      </w:r>
    </w:p>
    <w:p>
      <w:pPr>
        <w:pStyle w:val="NoSpacing"/>
        <w:ind w:left="216"/>
      </w:pPr>
      <w:r>
        <w:rPr>
          <w:rFonts w:ascii="Consolas" w:hAnsi="Consolas"/>
          <w:sz w:val="15"/>
        </w:rPr>
        <w:t xml:space="preserve">   | REST commands / WSS state snapshots [trust boundary TB-1]</w:t>
      </w:r>
    </w:p>
    <w:p>
      <w:pPr>
        <w:pStyle w:val="NoSpacing"/>
        <w:ind w:left="216"/>
      </w:pPr>
      <w:r>
        <w:rPr>
          <w:rFonts w:ascii="Consolas" w:hAnsi="Consolas"/>
          <w:sz w:val="15"/>
        </w:rPr>
        <w:t xml:space="preserve">   v</w:t>
      </w:r>
    </w:p>
    <w:p>
      <w:pPr>
        <w:pStyle w:val="NoSpacing"/>
        <w:ind w:left="216"/>
      </w:pPr>
      <w:r>
        <w:rPr>
          <w:rFonts w:ascii="Consolas" w:hAnsi="Consolas"/>
          <w:sz w:val="15"/>
        </w:rPr>
        <w:t>FASTAPI ingress: authentication | authorization | schema/size checks</w:t>
      </w:r>
    </w:p>
    <w:p>
      <w:pPr>
        <w:pStyle w:val="NoSpacing"/>
        <w:ind w:left="216"/>
      </w:pPr>
      <w:r>
        <w:rPr>
          <w:rFonts w:ascii="Consolas" w:hAnsi="Consolas"/>
          <w:sz w:val="15"/>
        </w:rPr>
        <w:t xml:space="preserve">   | typed commands</w:t>
      </w:r>
    </w:p>
    <w:p>
      <w:pPr>
        <w:pStyle w:val="NoSpacing"/>
        <w:ind w:left="216"/>
      </w:pPr>
      <w:r>
        <w:rPr>
          <w:rFonts w:ascii="Consolas" w:hAnsi="Consolas"/>
          <w:sz w:val="15"/>
        </w:rPr>
        <w:t xml:space="preserve">   v</w:t>
      </w:r>
    </w:p>
    <w:p>
      <w:pPr>
        <w:pStyle w:val="NoSpacing"/>
        <w:ind w:left="216"/>
      </w:pPr>
      <w:r>
        <w:rPr>
          <w:rFonts w:ascii="Consolas" w:hAnsi="Consolas"/>
          <w:sz w:val="15"/>
        </w:rPr>
        <w:t>APPLICATION: session service | serialized monitoring orchestrator</w:t>
      </w:r>
    </w:p>
    <w:p>
      <w:pPr>
        <w:pStyle w:val="NoSpacing"/>
        <w:ind w:left="216"/>
      </w:pPr>
      <w:r>
        <w:rPr>
          <w:rFonts w:ascii="Consolas" w:hAnsi="Consolas"/>
          <w:sz w:val="15"/>
        </w:rPr>
        <w:t xml:space="preserve">   | domain operations                    | event/state ports</w:t>
      </w:r>
    </w:p>
    <w:p>
      <w:pPr>
        <w:pStyle w:val="NoSpacing"/>
        <w:ind w:left="216"/>
      </w:pPr>
      <w:r>
        <w:rPr>
          <w:rFonts w:ascii="Consolas" w:hAnsi="Consolas"/>
          <w:sz w:val="15"/>
        </w:rPr>
        <w:t xml:space="preserve">   v                                      v</w:t>
      </w:r>
    </w:p>
    <w:p>
      <w:pPr>
        <w:pStyle w:val="NoSpacing"/>
        <w:ind w:left="216"/>
      </w:pPr>
      <w:r>
        <w:rPr>
          <w:rFonts w:ascii="Consolas" w:hAnsi="Consolas"/>
          <w:sz w:val="15"/>
        </w:rPr>
        <w:t>DOMAIN: validate | timestamp | alarm | stale   ADAPTERS: SQLite | clock</w:t>
      </w:r>
    </w:p>
    <w:p>
      <w:pPr>
        <w:pStyle w:val="NoSpacing"/>
        <w:ind w:left="216"/>
      </w:pPr>
      <w:r>
        <w:rPr>
          <w:rFonts w:ascii="Consolas" w:hAnsi="Consolas"/>
          <w:sz w:val="15"/>
        </w:rPr>
        <w:t xml:space="preserve">   ^                                      ^       sensor | publisher</w:t>
      </w:r>
    </w:p>
    <w:p>
      <w:pPr>
        <w:pStyle w:val="NoSpacing"/>
        <w:ind w:left="216"/>
      </w:pPr>
      <w:r>
        <w:rPr>
          <w:rFonts w:ascii="Consolas" w:hAnsi="Consolas"/>
          <w:sz w:val="15"/>
        </w:rPr>
        <w:t xml:space="preserve">   +---------- injectable interfaces -----+</w:t>
      </w:r>
    </w:p>
    <w:p>
      <w:pPr>
        <w:pStyle w:val="NoSpacing"/>
        <w:ind w:left="216"/>
      </w:pPr>
    </w:p>
    <w:p>
      <w:pPr>
        <w:pStyle w:val="NoSpacing"/>
        <w:ind w:left="216"/>
      </w:pPr>
      <w:r>
        <w:rPr>
          <w:rFonts w:ascii="Consolas" w:hAnsi="Consolas"/>
          <w:sz w:val="15"/>
        </w:rPr>
        <w:t>BUILD TRUST BOUNDARY TB-3: source -&gt; CI scans/tests -&gt; SBOM -&gt; release</w:t>
      </w:r>
    </w:p>
    <w:p>
      <w:pPr>
        <w:pStyle w:val="Heading1"/>
      </w:pPr>
      <w:r>
        <w:t>3. Component catalog and ownership</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Component</w:t>
            </w:r>
          </w:p>
        </w:tc>
        <w:tc>
          <w:tcPr>
            <w:tcW w:type="dxa" w:w="3293"/>
          </w:tcPr>
          <w:p>
            <w:r>
              <w:t>Responsibility / state ownership</w:t>
            </w:r>
          </w:p>
        </w:tc>
        <w:tc>
          <w:tcPr>
            <w:tcW w:type="dxa" w:w="3293"/>
          </w:tcPr>
          <w:p>
            <w:r>
              <w:t>Dependencies</w:t>
            </w:r>
          </w:p>
        </w:tc>
      </w:tr>
      <w:tr>
        <w:tc>
          <w:tcPr>
            <w:tcW w:type="dxa" w:w="3293"/>
          </w:tcPr>
          <w:p>
            <w:r>
              <w:t>React dashboard</w:t>
            </w:r>
          </w:p>
        </w:tc>
        <w:tc>
          <w:tcPr>
            <w:tcW w:type="dxa" w:w="3293"/>
          </w:tcPr>
          <w:p>
            <w:r>
              <w:t>Renders current values, statuses, alarms, session controls, events; no authoritative alarm decisions</w:t>
            </w:r>
          </w:p>
        </w:tc>
        <w:tc>
          <w:tcPr>
            <w:tcW w:type="dxa" w:w="3293"/>
          </w:tcPr>
          <w:p>
            <w:r>
              <w:t>REST/WSS client</w:t>
            </w:r>
          </w:p>
        </w:tc>
      </w:tr>
      <w:tr>
        <w:tc>
          <w:tcPr>
            <w:tcW w:type="dxa" w:w="3293"/>
          </w:tcPr>
          <w:p>
            <w:r>
              <w:t>FastAPI ingress</w:t>
            </w:r>
          </w:p>
        </w:tc>
        <w:tc>
          <w:tcPr>
            <w:tcW w:type="dxa" w:w="3293"/>
          </w:tcPr>
          <w:p>
            <w:r>
              <w:t>Authenticates/authorizes, validates envelopes, maps commands and errors; WSS subscription access</w:t>
            </w:r>
          </w:p>
        </w:tc>
        <w:tc>
          <w:tcPr>
            <w:tcW w:type="dxa" w:w="3293"/>
          </w:tcPr>
          <w:p>
            <w:r>
              <w:t>Application commands</w:t>
            </w:r>
          </w:p>
        </w:tc>
      </w:tr>
      <w:tr>
        <w:tc>
          <w:tcPr>
            <w:tcW w:type="dxa" w:w="3293"/>
          </w:tcPr>
          <w:p>
            <w:r>
              <w:t>Session service</w:t>
            </w:r>
          </w:p>
        </w:tc>
        <w:tc>
          <w:tcPr>
            <w:tcW w:type="dxa" w:w="3293"/>
          </w:tcPr>
          <w:p>
            <w:r>
              <w:t>Creates/stops sessions; resets current state; retains historical events</w:t>
            </w:r>
          </w:p>
        </w:tc>
        <w:tc>
          <w:tcPr>
            <w:tcW w:type="dxa" w:w="3293"/>
          </w:tcPr>
          <w:p>
            <w:r>
              <w:t>Clock, repository</w:t>
            </w:r>
          </w:p>
        </w:tc>
      </w:tr>
      <w:tr>
        <w:tc>
          <w:tcPr>
            <w:tcW w:type="dxa" w:w="3293"/>
          </w:tcPr>
          <w:p>
            <w:r>
              <w:t>Monitoring orchestrator</w:t>
            </w:r>
          </w:p>
        </w:tc>
        <w:tc>
          <w:tcPr>
            <w:tcW w:type="dxa" w:w="3293"/>
          </w:tcPr>
          <w:p>
            <w:r>
              <w:t>Serializes session mutations; validates readings; coordinates alarm transitions, writes and publication</w:t>
            </w:r>
          </w:p>
        </w:tc>
        <w:tc>
          <w:tcPr>
            <w:tcW w:type="dxa" w:w="3293"/>
          </w:tcPr>
          <w:p>
            <w:r>
              <w:t>Domain and ports</w:t>
            </w:r>
          </w:p>
        </w:tc>
      </w:tr>
      <w:tr>
        <w:tc>
          <w:tcPr>
            <w:tcW w:type="dxa" w:w="3293"/>
          </w:tcPr>
          <w:p>
            <w:r>
              <w:t>Domain rules</w:t>
            </w:r>
          </w:p>
        </w:tc>
        <w:tc>
          <w:tcPr>
            <w:tcW w:type="dxa" w:w="3293"/>
          </w:tcPr>
          <w:p>
            <w:r>
              <w:t>Measurement bounds, ordering, low/recovery counts, acknowledgment, stale determination</w:t>
            </w:r>
          </w:p>
        </w:tc>
        <w:tc>
          <w:tcPr>
            <w:tcW w:type="dxa" w:w="3293"/>
          </w:tcPr>
          <w:p>
            <w:r>
              <w:t>Python standard library only</w:t>
            </w:r>
          </w:p>
        </w:tc>
      </w:tr>
      <w:tr>
        <w:tc>
          <w:tcPr>
            <w:tcW w:type="dxa" w:w="3293"/>
          </w:tcPr>
          <w:p>
            <w:r>
              <w:t>Sensor adapter</w:t>
            </w:r>
          </w:p>
        </w:tc>
        <w:tc>
          <w:tcPr>
            <w:tcW w:type="dxa" w:w="3293"/>
          </w:tcPr>
          <w:p>
            <w:r>
              <w:t>Generates one synthetic HR/SpO₂ set per second; controlled adapter in tests</w:t>
            </w:r>
          </w:p>
        </w:tc>
        <w:tc>
          <w:tcPr>
            <w:tcW w:type="dxa" w:w="3293"/>
          </w:tcPr>
          <w:p>
            <w:r>
              <w:t>Clock port</w:t>
            </w:r>
          </w:p>
        </w:tc>
      </w:tr>
      <w:tr>
        <w:tc>
          <w:tcPr>
            <w:tcW w:type="dxa" w:w="3293"/>
          </w:tcPr>
          <w:p>
            <w:r>
              <w:t>Event repository</w:t>
            </w:r>
          </w:p>
        </w:tc>
        <w:tc>
          <w:tcPr>
            <w:tcW w:type="dxa" w:w="3293"/>
          </w:tcPr>
          <w:p>
            <w:r>
              <w:t>Writes/reads ordered monitoring events; failure-injection test adapter</w:t>
            </w:r>
          </w:p>
        </w:tc>
        <w:tc>
          <w:tcPr>
            <w:tcW w:type="dxa" w:w="3293"/>
          </w:tcPr>
          <w:p>
            <w:r>
              <w:t>SQLite / in-memory</w:t>
            </w:r>
          </w:p>
        </w:tc>
      </w:tr>
      <w:tr>
        <w:tc>
          <w:tcPr>
            <w:tcW w:type="dxa" w:w="3293"/>
          </w:tcPr>
          <w:p>
            <w:r>
              <w:t>Security audit service</w:t>
            </w:r>
          </w:p>
        </w:tc>
        <w:tc>
          <w:tcPr>
            <w:tcW w:type="dxa" w:w="3293"/>
          </w:tcPr>
          <w:p>
            <w:r>
              <w:t>Records auth failures, denied actions and configuration changes separately</w:t>
            </w:r>
          </w:p>
        </w:tc>
        <w:tc>
          <w:tcPr>
            <w:tcW w:type="dxa" w:w="3293"/>
          </w:tcPr>
          <w:p>
            <w:r>
              <w:t>Audit repository</w:t>
            </w:r>
          </w:p>
        </w:tc>
      </w:tr>
      <w:tr>
        <w:tc>
          <w:tcPr>
            <w:tcW w:type="dxa" w:w="3293"/>
          </w:tcPr>
          <w:p>
            <w:r>
              <w:t>State publisher</w:t>
            </w:r>
          </w:p>
        </w:tc>
        <w:tc>
          <w:tcPr>
            <w:tcW w:type="dxa" w:w="3293"/>
          </w:tcPr>
          <w:p>
            <w:r>
              <w:t>Pushes versioned authoritative snapshots to authorized subscribers</w:t>
            </w:r>
          </w:p>
        </w:tc>
        <w:tc>
          <w:tcPr>
            <w:tcW w:type="dxa" w:w="3293"/>
          </w:tcPr>
          <w:p>
            <w:r>
              <w:t>WebSocket adapter</w:t>
            </w:r>
          </w:p>
        </w:tc>
      </w:tr>
      <w:tr>
        <w:tc>
          <w:tcPr>
            <w:tcW w:type="dxa" w:w="3293"/>
          </w:tcPr>
          <w:p>
            <w:r>
              <w:t>Security engineering pipeline</w:t>
            </w:r>
          </w:p>
        </w:tc>
        <w:tc>
          <w:tcPr>
            <w:tcW w:type="dxa" w:w="3293"/>
          </w:tcPr>
          <w:p>
            <w:r>
              <w:t>Threat model, dependency/secret scans, SBOM, release review</w:t>
            </w:r>
          </w:p>
        </w:tc>
        <w:tc>
          <w:tcPr>
            <w:tcW w:type="dxa" w:w="3293"/>
          </w:tcPr>
          <w:p>
            <w:r>
              <w:t>CI tooling</w:t>
            </w:r>
          </w:p>
        </w:tc>
      </w:tr>
    </w:tbl>
    <w:p>
      <w:pPr>
        <w:pStyle w:val="Heading1"/>
      </w:pPr>
      <w:r>
        <w:t>4. Domain contracts and invariants</w:t>
      </w:r>
    </w:p>
    <w:p>
      <w:r>
        <w:t>MeasurementSet contains a session_id, one HR measurement and one SpO₂ measurement with measurement timestamps. Each accepted measurement also records a receipt timestamp from ClockPort. Heart rate accepts finite numeric 0–300 bpm inclusive; SpO₂ accepts finite numeric 0–100% inclusive. Each measurement type maintains an independent last-accepted measurement timestamp; equal/older timestamps are rejected. Rejected data never overwrites accepted values or increments alarm counters.</w:t>
      </w:r>
    </w:p>
    <w:p>
      <w:r>
        <w:t>The low-oxygen state machine uses states INACTIVE, ACTIVE_UNACKNOWLEDGED and ACTIVE_ACKNOWLEDGED. Three consecutive valid SpO₂ readings below 92% activate a new alarm episode; exactly 92% is recovery/normal. A valid reading ≥92%, invalid oxygen reading, or disconnect resets the pending low counter. Once active, three consecutive valid readings ≥92% clear the episode; invalid readings reset the recovery counter. Sensor disconnect does not clear an active alarm. Acknowledgment changes only acknowledgment status; a subsequent episode requires fresh acknowledgment.</w:t>
      </w:r>
    </w:p>
    <w:p>
      <w:pPr>
        <w:pStyle w:val="NoSpacing"/>
        <w:ind w:left="216"/>
      </w:pPr>
      <w:r>
        <w:rPr>
          <w:rFonts w:ascii="Consolas" w:hAnsi="Consolas"/>
          <w:sz w:val="15"/>
        </w:rPr>
        <w:t>INACTIVE -- third consecutive SpO2 &lt; 92 --&gt; ACTIVE_UNACKNOWLEDGED</w:t>
      </w:r>
    </w:p>
    <w:p>
      <w:pPr>
        <w:pStyle w:val="NoSpacing"/>
        <w:ind w:left="216"/>
      </w:pPr>
      <w:r>
        <w:rPr>
          <w:rFonts w:ascii="Consolas" w:hAnsi="Consolas"/>
          <w:sz w:val="15"/>
        </w:rPr>
        <w:t>ACTIVE_UNACKNOWLEDGED -- authorized acknowledge --&gt; ACTIVE_ACKNOWLEDGED</w:t>
      </w:r>
    </w:p>
    <w:p>
      <w:pPr>
        <w:pStyle w:val="NoSpacing"/>
        <w:ind w:left="216"/>
      </w:pPr>
      <w:r>
        <w:rPr>
          <w:rFonts w:ascii="Consolas" w:hAnsi="Consolas"/>
          <w:sz w:val="15"/>
        </w:rPr>
        <w:t>ACTIVE_UNACKNOWLEDGED -- third valid SpO2 &gt;= 92 --&gt; INACTIVE</w:t>
      </w:r>
    </w:p>
    <w:p>
      <w:pPr>
        <w:pStyle w:val="NoSpacing"/>
        <w:ind w:left="216"/>
      </w:pPr>
      <w:r>
        <w:rPr>
          <w:rFonts w:ascii="Consolas" w:hAnsi="Consolas"/>
          <w:sz w:val="15"/>
        </w:rPr>
        <w:t>ACTIVE_ACKNOWLEDGED -- third valid SpO2 &gt;= 92 --&gt; INACTIVE</w:t>
      </w:r>
    </w:p>
    <w:p>
      <w:pPr>
        <w:pStyle w:val="NoSpacing"/>
        <w:ind w:left="216"/>
      </w:pPr>
      <w:r>
        <w:rPr>
          <w:rFonts w:ascii="Consolas" w:hAnsi="Consolas"/>
          <w:sz w:val="15"/>
        </w:rPr>
        <w:t>DISCONNECT: reset pending low count; preserve active alarm episode</w:t>
      </w:r>
    </w:p>
    <w:p>
      <w:r>
        <w:t>Staleness is computed from the time the last valid reading was received: at elapsed = 5.000 s, CURRENT; at elapsed &gt; 5 s, STALE. Before first valid reading, display NO DATA. Disconnect and transport loss are distinct states. The backend is authoritative; the browser may display a conservative “connection lost / currency unknown” indicator while disconnected.</w:t>
      </w:r>
    </w:p>
    <w:p>
      <w:pPr>
        <w:pStyle w:val="Heading1"/>
      </w:pPr>
      <w:r>
        <w:t>5. Ports and adapters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Port</w:t>
            </w:r>
          </w:p>
        </w:tc>
        <w:tc>
          <w:tcPr>
            <w:tcW w:type="dxa" w:w="3293"/>
          </w:tcPr>
          <w:p>
            <w:r>
              <w:t>Representative operations</w:t>
            </w:r>
          </w:p>
        </w:tc>
        <w:tc>
          <w:tcPr>
            <w:tcW w:type="dxa" w:w="3293"/>
          </w:tcPr>
          <w:p>
            <w:r>
              <w:t>Test implementation</w:t>
            </w:r>
          </w:p>
        </w:tc>
      </w:tr>
      <w:tr>
        <w:tc>
          <w:tcPr>
            <w:tcW w:type="dxa" w:w="3293"/>
          </w:tcPr>
          <w:p>
            <w:r>
              <w:t>SensorPort</w:t>
            </w:r>
          </w:p>
        </w:tc>
        <w:tc>
          <w:tcPr>
            <w:tcW w:type="dxa" w:w="3293"/>
          </w:tcPr>
          <w:p>
            <w:r>
              <w:t>next_set() / connect() / disconnect()</w:t>
            </w:r>
          </w:p>
        </w:tc>
        <w:tc>
          <w:tcPr>
            <w:tcW w:type="dxa" w:w="3293"/>
          </w:tcPr>
          <w:p>
            <w:r>
              <w:t>ControlledSensor</w:t>
            </w:r>
          </w:p>
        </w:tc>
      </w:tr>
      <w:tr>
        <w:tc>
          <w:tcPr>
            <w:tcW w:type="dxa" w:w="3293"/>
          </w:tcPr>
          <w:p>
            <w:r>
              <w:t>ClockPort</w:t>
            </w:r>
          </w:p>
        </w:tc>
        <w:tc>
          <w:tcPr>
            <w:tcW w:type="dxa" w:w="3293"/>
          </w:tcPr>
          <w:p>
            <w:r>
              <w:t>utc_now(), monotonic_now()</w:t>
            </w:r>
          </w:p>
        </w:tc>
        <w:tc>
          <w:tcPr>
            <w:tcW w:type="dxa" w:w="3293"/>
          </w:tcPr>
          <w:p>
            <w:r>
              <w:t>FakeClock</w:t>
            </w:r>
          </w:p>
        </w:tc>
      </w:tr>
      <w:tr>
        <w:tc>
          <w:tcPr>
            <w:tcW w:type="dxa" w:w="3293"/>
          </w:tcPr>
          <w:p>
            <w:r>
              <w:t>MonitoringEventRepository</w:t>
            </w:r>
          </w:p>
        </w:tc>
        <w:tc>
          <w:tcPr>
            <w:tcW w:type="dxa" w:w="3293"/>
          </w:tcPr>
          <w:p>
            <w:r>
              <w:t>append(event), list(session_id)</w:t>
            </w:r>
          </w:p>
        </w:tc>
        <w:tc>
          <w:tcPr>
            <w:tcW w:type="dxa" w:w="3293"/>
          </w:tcPr>
          <w:p>
            <w:r>
              <w:t>InMemory / FailingRepository</w:t>
            </w:r>
          </w:p>
        </w:tc>
      </w:tr>
      <w:tr>
        <w:tc>
          <w:tcPr>
            <w:tcW w:type="dxa" w:w="3293"/>
          </w:tcPr>
          <w:p>
            <w:r>
              <w:t>SecurityAuditRepository</w:t>
            </w:r>
          </w:p>
        </w:tc>
        <w:tc>
          <w:tcPr>
            <w:tcW w:type="dxa" w:w="3293"/>
          </w:tcPr>
          <w:p>
            <w:r>
              <w:t>append_audit(event)</w:t>
            </w:r>
          </w:p>
        </w:tc>
        <w:tc>
          <w:tcPr>
            <w:tcW w:type="dxa" w:w="3293"/>
          </w:tcPr>
          <w:p>
            <w:r>
              <w:t>InMemoryAuditRepository</w:t>
            </w:r>
          </w:p>
        </w:tc>
      </w:tr>
      <w:tr>
        <w:tc>
          <w:tcPr>
            <w:tcW w:type="dxa" w:w="3293"/>
          </w:tcPr>
          <w:p>
            <w:r>
              <w:t>StatePublisherPort</w:t>
            </w:r>
          </w:p>
        </w:tc>
        <w:tc>
          <w:tcPr>
            <w:tcW w:type="dxa" w:w="3293"/>
          </w:tcPr>
          <w:p>
            <w:r>
              <w:t>publish(session_id, snapshot)</w:t>
            </w:r>
          </w:p>
        </w:tc>
        <w:tc>
          <w:tcPr>
            <w:tcW w:type="dxa" w:w="3293"/>
          </w:tcPr>
          <w:p>
            <w:r>
              <w:t>CapturedPublisher</w:t>
            </w:r>
          </w:p>
        </w:tc>
      </w:tr>
      <w:tr>
        <w:tc>
          <w:tcPr>
            <w:tcW w:type="dxa" w:w="3293"/>
          </w:tcPr>
          <w:p>
            <w:r>
              <w:t>AuthorizationPort</w:t>
            </w:r>
          </w:p>
        </w:tc>
        <w:tc>
          <w:tcPr>
            <w:tcW w:type="dxa" w:w="3293"/>
          </w:tcPr>
          <w:p>
            <w:r>
              <w:t>can(actor, action, session)</w:t>
            </w:r>
          </w:p>
        </w:tc>
        <w:tc>
          <w:tcPr>
            <w:tcW w:type="dxa" w:w="3293"/>
          </w:tcPr>
          <w:p>
            <w:r>
              <w:t>PolicyStub</w:t>
            </w:r>
          </w:p>
        </w:tc>
      </w:tr>
    </w:tbl>
    <w:p>
      <w:r>
        <w:t>All application services accept ports through constructor injection. Database sessions, WebSocket connections and system clocks must not be instantiated inside domain functions. In particular, domain tests require neither FastAPI nor SQLite.</w:t>
      </w:r>
    </w:p>
    <w:p>
      <w:pPr>
        <w:pStyle w:val="Heading1"/>
      </w:pPr>
      <w:r>
        <w:t>6. API and messaging contracts</w:t>
      </w:r>
    </w:p>
    <w:p>
      <w:r>
        <w:t>All endpoint paths are proposed v1.2 interface choices and must be versioned and contract-tested. API responses use consistent typed error codes, never raw stack traces. Network-accessible mode requires HTTPS/WSS; local-only mode binds 127.0.0.1. Authorization applies to HTTP and WebSocket handshakes/subscriptions.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Verb / path</w:t>
            </w:r>
          </w:p>
        </w:tc>
        <w:tc>
          <w:tcPr>
            <w:tcW w:type="dxa" w:w="3293"/>
          </w:tcPr>
          <w:p>
            <w:r>
              <w:t>Purpose</w:t>
            </w:r>
          </w:p>
        </w:tc>
        <w:tc>
          <w:tcPr>
            <w:tcW w:type="dxa" w:w="3293"/>
          </w:tcPr>
          <w:p>
            <w:r>
              <w:t>Role</w:t>
            </w:r>
          </w:p>
        </w:tc>
      </w:tr>
      <w:tr>
        <w:tc>
          <w:tcPr>
            <w:tcW w:type="dxa" w:w="3293"/>
          </w:tcPr>
          <w:p>
            <w:r>
              <w:t>POST /api/v1/sessions</w:t>
            </w:r>
          </w:p>
        </w:tc>
        <w:tc>
          <w:tcPr>
            <w:tcW w:type="dxa" w:w="3293"/>
          </w:tcPr>
          <w:p>
            <w:r>
              <w:t>Start session</w:t>
            </w:r>
          </w:p>
        </w:tc>
        <w:tc>
          <w:tcPr>
            <w:tcW w:type="dxa" w:w="3293"/>
          </w:tcPr>
          <w:p>
            <w:r>
              <w:t>Operator</w:t>
            </w:r>
          </w:p>
        </w:tc>
      </w:tr>
      <w:tr>
        <w:tc>
          <w:tcPr>
            <w:tcW w:type="dxa" w:w="3293"/>
          </w:tcPr>
          <w:p>
            <w:r>
              <w:t>POST /api/v1/sessions/{id}/stop</w:t>
            </w:r>
          </w:p>
        </w:tc>
        <w:tc>
          <w:tcPr>
            <w:tcW w:type="dxa" w:w="3293"/>
          </w:tcPr>
          <w:p>
            <w:r>
              <w:t>Stop session</w:t>
            </w:r>
          </w:p>
        </w:tc>
        <w:tc>
          <w:tcPr>
            <w:tcW w:type="dxa" w:w="3293"/>
          </w:tcPr>
          <w:p>
            <w:r>
              <w:t>Operator</w:t>
            </w:r>
          </w:p>
        </w:tc>
      </w:tr>
      <w:tr>
        <w:tc>
          <w:tcPr>
            <w:tcW w:type="dxa" w:w="3293"/>
          </w:tcPr>
          <w:p>
            <w:r>
              <w:t>GET /api/v1/sessions/{id}/state</w:t>
            </w:r>
          </w:p>
        </w:tc>
        <w:tc>
          <w:tcPr>
            <w:tcW w:type="dxa" w:w="3293"/>
          </w:tcPr>
          <w:p>
            <w:r>
              <w:t>Authoritative snapshot</w:t>
            </w:r>
          </w:p>
        </w:tc>
        <w:tc>
          <w:tcPr>
            <w:tcW w:type="dxa" w:w="3293"/>
          </w:tcPr>
          <w:p>
            <w:r>
              <w:t>Observer/Operator</w:t>
            </w:r>
          </w:p>
        </w:tc>
      </w:tr>
      <w:tr>
        <w:tc>
          <w:tcPr>
            <w:tcW w:type="dxa" w:w="3293"/>
          </w:tcPr>
          <w:p>
            <w:r>
              <w:t>GET /api/v1/sessions/{id}/events</w:t>
            </w:r>
          </w:p>
        </w:tc>
        <w:tc>
          <w:tcPr>
            <w:tcW w:type="dxa" w:w="3293"/>
          </w:tcPr>
          <w:p>
            <w:r>
              <w:t>Chronological events</w:t>
            </w:r>
          </w:p>
        </w:tc>
        <w:tc>
          <w:tcPr>
            <w:tcW w:type="dxa" w:w="3293"/>
          </w:tcPr>
          <w:p>
            <w:r>
              <w:t>Observer/Operator</w:t>
            </w:r>
          </w:p>
        </w:tc>
      </w:tr>
      <w:tr>
        <w:tc>
          <w:tcPr>
            <w:tcW w:type="dxa" w:w="3293"/>
          </w:tcPr>
          <w:p>
            <w:r>
              <w:t>POST /api/v1/sessions/{id}/alarms/{episode}/acknowledge</w:t>
            </w:r>
          </w:p>
        </w:tc>
        <w:tc>
          <w:tcPr>
            <w:tcW w:type="dxa" w:w="3293"/>
          </w:tcPr>
          <w:p>
            <w:r>
              <w:t>Acknowledge current active episode</w:t>
            </w:r>
          </w:p>
        </w:tc>
        <w:tc>
          <w:tcPr>
            <w:tcW w:type="dxa" w:w="3293"/>
          </w:tcPr>
          <w:p>
            <w:r>
              <w:t>Operator</w:t>
            </w:r>
          </w:p>
        </w:tc>
      </w:tr>
      <w:tr>
        <w:tc>
          <w:tcPr>
            <w:tcW w:type="dxa" w:w="3293"/>
          </w:tcPr>
          <w:p>
            <w:r>
              <w:t>POST /api/v1/sessions/{id}/sensor/disconnect</w:t>
            </w:r>
          </w:p>
        </w:tc>
        <w:tc>
          <w:tcPr>
            <w:tcW w:type="dxa" w:w="3293"/>
          </w:tcPr>
          <w:p>
            <w:r>
              <w:t>Simulate disconnect</w:t>
            </w:r>
          </w:p>
        </w:tc>
        <w:tc>
          <w:tcPr>
            <w:tcW w:type="dxa" w:w="3293"/>
          </w:tcPr>
          <w:p>
            <w:r>
              <w:t>Operator</w:t>
            </w:r>
          </w:p>
        </w:tc>
      </w:tr>
      <w:tr>
        <w:tc>
          <w:tcPr>
            <w:tcW w:type="dxa" w:w="3293"/>
          </w:tcPr>
          <w:p>
            <w:r>
              <w:t>POST /api/v1/sessions/{id}/sensor/reconnect</w:t>
            </w:r>
          </w:p>
        </w:tc>
        <w:tc>
          <w:tcPr>
            <w:tcW w:type="dxa" w:w="3293"/>
          </w:tcPr>
          <w:p>
            <w:r>
              <w:t>Simulate reconnect</w:t>
            </w:r>
          </w:p>
        </w:tc>
        <w:tc>
          <w:tcPr>
            <w:tcW w:type="dxa" w:w="3293"/>
          </w:tcPr>
          <w:p>
            <w:r>
              <w:t>Operator</w:t>
            </w:r>
          </w:p>
        </w:tc>
      </w:tr>
      <w:tr>
        <w:tc>
          <w:tcPr>
            <w:tcW w:type="dxa" w:w="3293"/>
          </w:tcPr>
          <w:p>
            <w:r>
              <w:t>WSS /ws/v1/sessions/{id}/monitor</w:t>
            </w:r>
          </w:p>
        </w:tc>
        <w:tc>
          <w:tcPr>
            <w:tcW w:type="dxa" w:w="3293"/>
          </w:tcPr>
          <w:p>
            <w:r>
              <w:t>Versioned state snapshots</w:t>
            </w:r>
          </w:p>
        </w:tc>
        <w:tc>
          <w:tcPr>
            <w:tcW w:type="dxa" w:w="3293"/>
          </w:tcPr>
          <w:p>
            <w:r>
              <w:t>Observer/Operator</w:t>
            </w:r>
          </w:p>
        </w:tc>
      </w:tr>
    </w:tbl>
    <w:p>
      <w:r>
        <w:t>StateSnapshot contract: session_id, monotonic state_version, emitted_at UTC, session_status, sensor_status, connection_status (frontend-derived), per-measurement value/unit/measured_at/received_at/status, active alarm episode/status, and event_storage_status. Clients discard older versions and fetch GET /state after reconnect. API commands should use idempotency keys or equivalent duplicate protection where retries could otherwise create duplicate actions.</w:t>
      </w:r>
    </w:p>
    <w:p>
      <w:pPr>
        <w:pStyle w:val="NoSpacing"/>
        <w:ind w:left="216"/>
      </w:pPr>
      <w:r>
        <w:rPr>
          <w:rFonts w:ascii="Consolas" w:hAnsi="Consolas"/>
          <w:sz w:val="15"/>
        </w:rPr>
        <w:t>POST /api/v1/sessions/{id}/alarms/{episode}/acknowledge</w:t>
      </w:r>
    </w:p>
    <w:p>
      <w:pPr>
        <w:pStyle w:val="NoSpacing"/>
        <w:ind w:left="216"/>
      </w:pPr>
      <w:r>
        <w:rPr>
          <w:rFonts w:ascii="Consolas" w:hAnsi="Consolas"/>
          <w:sz w:val="15"/>
        </w:rPr>
        <w:t>Authorization: Operator for target session; episode must be active/current</w:t>
      </w:r>
    </w:p>
    <w:p>
      <w:pPr>
        <w:pStyle w:val="NoSpacing"/>
        <w:ind w:left="216"/>
      </w:pPr>
      <w:r>
        <w:rPr>
          <w:rFonts w:ascii="Consolas" w:hAnsi="Consolas"/>
          <w:sz w:val="15"/>
        </w:rPr>
        <w:t>Success: 200 + updated alarm state and state_version</w:t>
      </w:r>
    </w:p>
    <w:p>
      <w:pPr>
        <w:pStyle w:val="NoSpacing"/>
        <w:ind w:left="216"/>
      </w:pPr>
      <w:r>
        <w:rPr>
          <w:rFonts w:ascii="Consolas" w:hAnsi="Consolas"/>
          <w:sz w:val="15"/>
        </w:rPr>
        <w:t>Failure: 401 unauthenticated | 403 unauthorized | 404 unknown session</w:t>
      </w:r>
    </w:p>
    <w:p>
      <w:pPr>
        <w:pStyle w:val="NoSpacing"/>
        <w:ind w:left="216"/>
      </w:pPr>
      <w:r>
        <w:rPr>
          <w:rFonts w:ascii="Consolas" w:hAnsi="Consolas"/>
          <w:sz w:val="15"/>
        </w:rPr>
        <w:t xml:space="preserve">         409 inactive/stale episode | 422 malformed request</w:t>
      </w:r>
    </w:p>
    <w:p>
      <w:pPr>
        <w:pStyle w:val="NoSpacing"/>
        <w:ind w:left="216"/>
      </w:pPr>
      <w:r>
        <w:rPr>
          <w:rFonts w:ascii="Consolas" w:hAnsi="Consolas"/>
          <w:sz w:val="15"/>
        </w:rPr>
        <w:t>Invariant: rejected command cannot alter alarm state</w:t>
      </w:r>
    </w:p>
    <w:p>
      <w:pPr>
        <w:pStyle w:val="Heading1"/>
      </w:pPr>
      <w:r>
        <w:t>7. Runtime sequences and concurrency</w:t>
      </w:r>
    </w:p>
    <w:p>
      <w:pPr>
        <w:pStyle w:val="Heading2"/>
      </w:pPr>
      <w:r>
        <w:t>7.1 Normal reading</w:t>
      </w:r>
    </w:p>
    <w:p>
      <w:r>
        <w:t>Sensor scheduler -&gt; Monitoring Orchestrator -&gt; range/type validation -&gt; per-measurement timestamp ordering -&gt; accepted-state update -&gt; alarm state transition -&gt; event-write attempt (when generated) -&gt; StatePublisher -&gt; React render. The one-second display requirement is verified end-to-end with controlled scheduling and receipt-to-render timing.</w:t>
      </w:r>
    </w:p>
    <w:p>
      <w:pPr>
        <w:pStyle w:val="Heading2"/>
      </w:pPr>
      <w:r>
        <w:t>7.2 Alarm acknowledgment</w:t>
      </w:r>
    </w:p>
    <w:p>
      <w:r>
        <w:t>React issues authorized POST with session and episode IDs. Ingress authenticates and authorizes; application queue serializes the command with sensor readings; domain verifies active episode; state transitions to ACTIVE_ACKNOWLEDGED; acknowledgment event is attempted; snapshot is published. A stale episode or observer command fails without state mutation.</w:t>
      </w:r>
    </w:p>
    <w:p>
      <w:pPr>
        <w:pStyle w:val="Heading2"/>
      </w:pPr>
      <w:r>
        <w:t>7.3 Fault injection</w:t>
      </w:r>
    </w:p>
    <w:p>
      <w:r>
        <w:t>A failing event repository raises a typed persistence exception. The orchestrator preserves the completed domain transition, sets event_storage_status=FAILED and publishes the warning. Subsequent incoming readings continue to be evaluated. The warning clears only after a successful subsequent write. Failed writes are not represented as successfully persisted; potential lost events are documented as a v1 limitation.</w:t>
      </w:r>
    </w:p>
    <w:p>
      <w:r>
        <w:t>Per-session state-changing commands run in one serialized event loop or queue. This prevents acknowledgment, disconnect, session-stop and incoming-reading races. Blocking database operations must not hold up alarm evaluation; the exact implementation and backpressure policy require performance tests. The design does not promise clinical real-time guarantees.</w:t>
      </w:r>
    </w:p>
    <w:p>
      <w:pPr>
        <w:pStyle w:val="Heading1"/>
      </w:pPr>
      <w:r>
        <w:t>8. Persistence and data inventory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Record</w:t>
            </w:r>
          </w:p>
        </w:tc>
        <w:tc>
          <w:tcPr>
            <w:tcW w:type="dxa" w:w="3293"/>
          </w:tcPr>
          <w:p>
            <w:r>
              <w:t>Key fields</w:t>
            </w:r>
          </w:p>
        </w:tc>
        <w:tc>
          <w:tcPr>
            <w:tcW w:type="dxa" w:w="3293"/>
          </w:tcPr>
          <w:p>
            <w:r>
              <w:t>Retention / sensitivity</w:t>
            </w:r>
          </w:p>
        </w:tc>
      </w:tr>
      <w:tr>
        <w:tc>
          <w:tcPr>
            <w:tcW w:type="dxa" w:w="3293"/>
          </w:tcPr>
          <w:p>
            <w:r>
              <w:t>MonitoringSession</w:t>
            </w:r>
          </w:p>
        </w:tc>
        <w:tc>
          <w:tcPr>
            <w:tcW w:type="dxa" w:w="3293"/>
          </w:tcPr>
          <w:p>
            <w:r>
              <w:t>session_id, started_at, stopped_at, status</w:t>
            </w:r>
          </w:p>
        </w:tc>
        <w:tc>
          <w:tcPr>
            <w:tcW w:type="dxa" w:w="3293"/>
          </w:tcPr>
          <w:p>
            <w:r>
              <w:t>Synthetic; documented retention</w:t>
            </w:r>
          </w:p>
        </w:tc>
      </w:tr>
      <w:tr>
        <w:tc>
          <w:tcPr>
            <w:tcW w:type="dxa" w:w="3293"/>
          </w:tcPr>
          <w:p>
            <w:r>
              <w:t>MonitoringEvent</w:t>
            </w:r>
          </w:p>
        </w:tc>
        <w:tc>
          <w:tcPr>
            <w:tcW w:type="dxa" w:w="3293"/>
          </w:tcPr>
          <w:p>
            <w:r>
              <w:t>event_sequence PK, event_id, session_id, event_type, UTC timestamp, details</w:t>
            </w:r>
          </w:p>
        </w:tc>
        <w:tc>
          <w:tcPr>
            <w:tcW w:type="dxa" w:w="3293"/>
          </w:tcPr>
          <w:p>
            <w:r>
              <w:t>Synthetic events; ordered timestamp + sequence</w:t>
            </w:r>
          </w:p>
        </w:tc>
      </w:tr>
      <w:tr>
        <w:tc>
          <w:tcPr>
            <w:tcW w:type="dxa" w:w="3293"/>
          </w:tcPr>
          <w:p>
            <w:r>
              <w:t>SecurityAuditEvent</w:t>
            </w:r>
          </w:p>
        </w:tc>
        <w:tc>
          <w:tcPr>
            <w:tcW w:type="dxa" w:w="3293"/>
          </w:tcPr>
          <w:p>
            <w:r>
              <w:t>audit_sequence PK, UTC timestamp, actor_ref, action, outcome, metadata</w:t>
            </w:r>
          </w:p>
        </w:tc>
        <w:tc>
          <w:tcPr>
            <w:tcW w:type="dxa" w:w="3293"/>
          </w:tcPr>
          <w:p>
            <w:r>
              <w:t>Potential personal data; minimize/redact</w:t>
            </w:r>
          </w:p>
        </w:tc>
      </w:tr>
      <w:tr>
        <w:tc>
          <w:tcPr>
            <w:tcW w:type="dxa" w:w="3293"/>
          </w:tcPr>
          <w:p>
            <w:r>
              <w:t>RuntimeState</w:t>
            </w:r>
          </w:p>
        </w:tc>
        <w:tc>
          <w:tcPr>
            <w:tcW w:type="dxa" w:w="3293"/>
          </w:tcPr>
          <w:p>
            <w:r>
              <w:t>latest accepted readings, counters, alarm episode, state_version</w:t>
            </w:r>
          </w:p>
        </w:tc>
        <w:tc>
          <w:tcPr>
            <w:tcW w:type="dxa" w:w="3293"/>
          </w:tcPr>
          <w:p>
            <w:r>
              <w:t>In-memory only; not restart-resilient</w:t>
            </w:r>
          </w:p>
        </w:tc>
      </w:tr>
    </w:tbl>
    <w:p>
      <w:r>
        <w:t>SQLite repository transactions protect event atomicity. Historical events remain associated with their original session ID after session reset. Event ordering uses ORDER BY event_timestamp ASC, event_sequence ASC. Access to the database file is restricted to the application account; credentials/secrets are never embedded in source. No real patient names, birth dates, medical record numbers, or external analytics are included.</w:t>
      </w:r>
    </w:p>
    <w:p>
      <w:pPr>
        <w:pStyle w:val="Heading1"/>
      </w:pPr>
      <w:r>
        <w:t>9. Security architecture and trust boundaries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Boundary</w:t>
            </w:r>
          </w:p>
        </w:tc>
        <w:tc>
          <w:tcPr>
            <w:tcW w:type="dxa" w:w="3293"/>
          </w:tcPr>
          <w:p>
            <w:r>
              <w:t>Assets / entry points</w:t>
            </w:r>
          </w:p>
        </w:tc>
        <w:tc>
          <w:tcPr>
            <w:tcW w:type="dxa" w:w="3293"/>
          </w:tcPr>
          <w:p>
            <w:r>
              <w:t>Primary controls</w:t>
            </w:r>
          </w:p>
        </w:tc>
      </w:tr>
      <w:tr>
        <w:tc>
          <w:tcPr>
            <w:tcW w:type="dxa" w:w="3293"/>
          </w:tcPr>
          <w:p>
            <w:r>
              <w:t>TB-1 Browser ↔ API</w:t>
            </w:r>
          </w:p>
        </w:tc>
        <w:tc>
          <w:tcPr>
            <w:tcW w:type="dxa" w:w="3293"/>
          </w:tcPr>
          <w:p>
            <w:r>
              <w:t>Session commands, events, snapshots</w:t>
            </w:r>
          </w:p>
        </w:tc>
        <w:tc>
          <w:tcPr>
            <w:tcW w:type="dxa" w:w="3293"/>
          </w:tcPr>
          <w:p>
            <w:r>
              <w:t>Authentication, backend authorization, strict schemas, bounded payloads, TLS in network mode, origin policy</w:t>
            </w:r>
          </w:p>
        </w:tc>
      </w:tr>
      <w:tr>
        <w:tc>
          <w:tcPr>
            <w:tcW w:type="dxa" w:w="3293"/>
          </w:tcPr>
          <w:p>
            <w:r>
              <w:t>TB-2 Application ↔ storage</w:t>
            </w:r>
          </w:p>
        </w:tc>
        <w:tc>
          <w:tcPr>
            <w:tcW w:type="dxa" w:w="3293"/>
          </w:tcPr>
          <w:p>
            <w:r>
              <w:t>Event history, security audit</w:t>
            </w:r>
          </w:p>
        </w:tc>
        <w:tc>
          <w:tcPr>
            <w:tcW w:type="dxa" w:w="3293"/>
          </w:tcPr>
          <w:p>
            <w:r>
              <w:t>Restricted filesystem privileges, parameterized queries, separated audit records, error isolation</w:t>
            </w:r>
          </w:p>
        </w:tc>
      </w:tr>
      <w:tr>
        <w:tc>
          <w:tcPr>
            <w:tcW w:type="dxa" w:w="3293"/>
          </w:tcPr>
          <w:p>
            <w:r>
              <w:t>TB-3 Build/release supply chain</w:t>
            </w:r>
          </w:p>
        </w:tc>
        <w:tc>
          <w:tcPr>
            <w:tcW w:type="dxa" w:w="3293"/>
          </w:tcPr>
          <w:p>
            <w:r>
              <w:t>Dependencies, build artifacts, update packages</w:t>
            </w:r>
          </w:p>
        </w:tc>
        <w:tc>
          <w:tcPr>
            <w:tcW w:type="dxa" w:w="3293"/>
          </w:tcPr>
          <w:p>
            <w:r>
              <w:t>Pinned versions, dependency/secret scans, SBOM, artifact integrity, reviewed updates</w:t>
            </w:r>
          </w:p>
        </w:tc>
      </w:tr>
      <w:tr>
        <w:tc>
          <w:tcPr>
            <w:tcW w:type="dxa" w:w="3293"/>
          </w:tcPr>
          <w:p>
            <w:r>
              <w:t>TB-4 Sensor adapter ↔ domain</w:t>
            </w:r>
          </w:p>
        </w:tc>
        <w:tc>
          <w:tcPr>
            <w:tcW w:type="dxa" w:w="3293"/>
          </w:tcPr>
          <w:p>
            <w:r>
              <w:t>Synthetic measurement input</w:t>
            </w:r>
          </w:p>
        </w:tc>
        <w:tc>
          <w:tcPr>
            <w:tcW w:type="dxa" w:w="3293"/>
          </w:tcPr>
          <w:p>
            <w:r>
              <w:t>Validated types/ranges/timestamps, controlled adapter, no direct browser-to-domain writes</w:t>
            </w:r>
          </w:p>
        </w:tc>
      </w:tr>
    </w:tbl>
    <w:p>
      <w:r>
        <w:t>Observer may view authorized sessions and Operator may additionally mutate sessions and alarms. All authorization is enforced server-side, including WebSocket subscriptions and cross-session access. Secure defaults disable public binding and development/debug routes. Audit records exclude passwords, tokens and unnecessary identifiers. Session cookies/tokens, CORS, CSRF protections, TLS termination and secrets handling are detailed design items requiring security review before any network deployment.</w:t>
      </w:r>
    </w:p>
    <w:p>
      <w:pPr>
        <w:pStyle w:val="Heading1"/>
      </w:pPr>
      <w:r>
        <w:t>10. Threat model and risk-to-test linkage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Threat ID</w:t>
            </w:r>
          </w:p>
        </w:tc>
        <w:tc>
          <w:tcPr>
            <w:tcW w:type="dxa" w:w="3293"/>
          </w:tcPr>
          <w:p>
            <w:r>
              <w:t>Scenario / possible effect</w:t>
            </w:r>
          </w:p>
        </w:tc>
        <w:tc>
          <w:tcPr>
            <w:tcW w:type="dxa" w:w="3293"/>
          </w:tcPr>
          <w:p>
            <w:r>
              <w:t>Control and verification</w:t>
            </w:r>
          </w:p>
        </w:tc>
      </w:tr>
      <w:tr>
        <w:tc>
          <w:tcPr>
            <w:tcW w:type="dxa" w:w="3293"/>
          </w:tcPr>
          <w:p>
            <w:r>
              <w:t>THR-01</w:t>
            </w:r>
          </w:p>
        </w:tc>
        <w:tc>
          <w:tcPr>
            <w:tcW w:type="dxa" w:w="3293"/>
          </w:tcPr>
          <w:p>
            <w:r>
              <w:t>Unauthorized alarm acknowledgment alters apparent safety state</w:t>
            </w:r>
          </w:p>
        </w:tc>
        <w:tc>
          <w:tcPr>
            <w:tcW w:type="dxa" w:w="3293"/>
          </w:tcPr>
          <w:p>
            <w:r>
              <w:t>SEC-002/014; 401/403/409 and unchanged-state tests</w:t>
            </w:r>
          </w:p>
        </w:tc>
      </w:tr>
      <w:tr>
        <w:tc>
          <w:tcPr>
            <w:tcW w:type="dxa" w:w="3293"/>
          </w:tcPr>
          <w:p>
            <w:r>
              <w:t>THR-02</w:t>
            </w:r>
          </w:p>
        </w:tc>
        <w:tc>
          <w:tcPr>
            <w:tcW w:type="dxa" w:w="3293"/>
          </w:tcPr>
          <w:p>
            <w:r>
              <w:t>Forged/invalid SpO₂ input triggers incorrect alarm</w:t>
            </w:r>
          </w:p>
        </w:tc>
        <w:tc>
          <w:tcPr>
            <w:tcW w:type="dxa" w:w="3293"/>
          </w:tcPr>
          <w:p>
            <w:r>
              <w:t>FR-004/015, SEC-004/011; malformed/out-of-order tests</w:t>
            </w:r>
          </w:p>
        </w:tc>
      </w:tr>
      <w:tr>
        <w:tc>
          <w:tcPr>
            <w:tcW w:type="dxa" w:w="3293"/>
          </w:tcPr>
          <w:p>
            <w:r>
              <w:t>THR-03</w:t>
            </w:r>
          </w:p>
        </w:tc>
        <w:tc>
          <w:tcPr>
            <w:tcW w:type="dxa" w:w="3293"/>
          </w:tcPr>
          <w:p>
            <w:r>
              <w:t>WebSocket eavesdropping or unauthorized subscription</w:t>
            </w:r>
          </w:p>
        </w:tc>
        <w:tc>
          <w:tcPr>
            <w:tcW w:type="dxa" w:w="3293"/>
          </w:tcPr>
          <w:p>
            <w:r>
              <w:t>SEC-002/003/016; handshake and transport tests</w:t>
            </w:r>
          </w:p>
        </w:tc>
      </w:tr>
      <w:tr>
        <w:tc>
          <w:tcPr>
            <w:tcW w:type="dxa" w:w="3293"/>
          </w:tcPr>
          <w:p>
            <w:r>
              <w:t>THR-04</w:t>
            </w:r>
          </w:p>
        </w:tc>
        <w:tc>
          <w:tcPr>
            <w:tcW w:type="dxa" w:w="3293"/>
          </w:tcPr>
          <w:p>
            <w:r>
              <w:t>Vulnerable dependency compromises backend</w:t>
            </w:r>
          </w:p>
        </w:tc>
        <w:tc>
          <w:tcPr>
            <w:tcW w:type="dxa" w:w="3293"/>
          </w:tcPr>
          <w:p>
            <w:r>
              <w:t>SEC-007/008/012; scan + SBOM + triage record</w:t>
            </w:r>
          </w:p>
        </w:tc>
      </w:tr>
      <w:tr>
        <w:tc>
          <w:tcPr>
            <w:tcW w:type="dxa" w:w="3293"/>
          </w:tcPr>
          <w:p>
            <w:r>
              <w:t>THR-05</w:t>
            </w:r>
          </w:p>
        </w:tc>
        <w:tc>
          <w:tcPr>
            <w:tcW w:type="dxa" w:w="3293"/>
          </w:tcPr>
          <w:p>
            <w:r>
              <w:t>Event storage outage conceals failure</w:t>
            </w:r>
          </w:p>
        </w:tc>
        <w:tc>
          <w:tcPr>
            <w:tcW w:type="dxa" w:w="3293"/>
          </w:tcPr>
          <w:p>
            <w:r>
              <w:t>SF-005; injected failure and recovery tests</w:t>
            </w:r>
          </w:p>
        </w:tc>
      </w:tr>
      <w:tr>
        <w:tc>
          <w:tcPr>
            <w:tcW w:type="dxa" w:w="3293"/>
          </w:tcPr>
          <w:p>
            <w:r>
              <w:t>THR-06</w:t>
            </w:r>
          </w:p>
        </w:tc>
        <w:tc>
          <w:tcPr>
            <w:tcW w:type="dxa" w:w="3293"/>
          </w:tcPr>
          <w:p>
            <w:r>
              <w:t>Audit log exposes tokens or user identifiers</w:t>
            </w:r>
          </w:p>
        </w:tc>
        <w:tc>
          <w:tcPr>
            <w:tcW w:type="dxa" w:w="3293"/>
          </w:tcPr>
          <w:p>
            <w:r>
              <w:t>SEC-005, PRIV-005; redaction tests</w:t>
            </w:r>
          </w:p>
        </w:tc>
      </w:tr>
      <w:tr>
        <w:tc>
          <w:tcPr>
            <w:tcW w:type="dxa" w:w="3293"/>
          </w:tcPr>
          <w:p>
            <w:r>
              <w:t>THR-07</w:t>
            </w:r>
          </w:p>
        </w:tc>
        <w:tc>
          <w:tcPr>
            <w:tcW w:type="dxa" w:w="3293"/>
          </w:tcPr>
          <w:p>
            <w:r>
              <w:t>Excessive requests degrade monitoring</w:t>
            </w:r>
          </w:p>
        </w:tc>
        <w:tc>
          <w:tcPr>
            <w:tcW w:type="dxa" w:w="3293"/>
          </w:tcPr>
          <w:p>
            <w:r>
              <w:t>SEC-004/011/013; limits and resource-exhaustion tests</w:t>
            </w:r>
          </w:p>
        </w:tc>
      </w:tr>
    </w:tbl>
    <w:p>
      <w:r>
        <w:t>The formal cybersecurity risk assessment must separately evaluate exploitability, potential safety impact, residual risk, and acceptance authority. A threat table is not a completed risk assessment. Security risk and software safety hazard analyses should cross-reference one another where cyber compromise can affect alarm behavior.</w:t>
      </w:r>
    </w:p>
    <w:p>
      <w:pPr>
        <w:pStyle w:val="Heading1"/>
      </w:pPr>
      <w:r>
        <w:t>11. Privacy-by-design and GDPR applicability</w:t>
      </w:r>
    </w:p>
    <w:p>
      <w:r>
        <w:t>The system uses only synthetic physiological values and random session identifiers. A data inventory identifies events, logs, operator accounts and metadata, including retention, purpose, storage and access. Privacy reviews must assess whether any account/audit/IP data relates to identifiable natural persons; GDPR applicability is not assumed merely from synthetic readings. Third-party analytics are disabled by default. Deletion procedures and any audit-retention exceptions are documented and tested. Introduction of real or identifiable personal data is a release-blocking scope change pending review.</w:t>
      </w:r>
    </w:p>
    <w:p>
      <w:pPr>
        <w:pStyle w:val="Heading1"/>
      </w:pPr>
      <w:r>
        <w:t>12. Verification, TDD and CI quality gates</w:t>
      </w:r>
    </w:p>
    <w:p>
      <w:r>
        <w:t>Implement representative functionality using red/green/refactor commits. Unit tests cover validation, exact 92% boundary, third low/recovery readings, invalid resets, timestamp duplicates, stale at exactly five seconds, and new-episode acknowledgment. Integration tests cover sensor→state→storage, storage failures, session resets and state publishing. Playwright covers normal, alarm, acknowledgment, disconnect/reconnect, connection loss and event-history flows.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Gate / evidence</w:t>
            </w:r>
          </w:p>
        </w:tc>
        <w:tc>
          <w:tcPr>
            <w:tcW w:type="dxa" w:w="4939"/>
          </w:tcPr>
          <w:p>
            <w:r>
              <w:t>Pass criterion</w:t>
            </w:r>
          </w:p>
        </w:tc>
      </w:tr>
      <w:tr>
        <w:tc>
          <w:tcPr>
            <w:tcW w:type="dxa" w:w="4939"/>
          </w:tcPr>
          <w:p>
            <w:r>
              <w:t>pytest unit + integration</w:t>
            </w:r>
          </w:p>
        </w:tc>
        <w:tc>
          <w:tcPr>
            <w:tcW w:type="dxa" w:w="4939"/>
          </w:tcPr>
          <w:p>
            <w:r>
              <w:t>All required tests pass</w:t>
            </w:r>
          </w:p>
        </w:tc>
      </w:tr>
      <w:tr>
        <w:tc>
          <w:tcPr>
            <w:tcW w:type="dxa" w:w="4939"/>
          </w:tcPr>
          <w:p>
            <w:r>
              <w:t>Playwright browser workflows</w:t>
            </w:r>
          </w:p>
        </w:tc>
        <w:tc>
          <w:tcPr>
            <w:tcW w:type="dxa" w:w="4939"/>
          </w:tcPr>
          <w:p>
            <w:r>
              <w:t>All required workflows pass</w:t>
            </w:r>
          </w:p>
        </w:tc>
      </w:tr>
      <w:tr>
        <w:tc>
          <w:tcPr>
            <w:tcW w:type="dxa" w:w="4939"/>
          </w:tcPr>
          <w:p>
            <w:r>
              <w:t>Ruff lint + formatting / mypy / ESLint</w:t>
            </w:r>
          </w:p>
        </w:tc>
        <w:tc>
          <w:tcPr>
            <w:tcW w:type="dxa" w:w="4939"/>
          </w:tcPr>
          <w:p>
            <w:r>
              <w:t>Configured checks pass</w:t>
            </w:r>
          </w:p>
        </w:tc>
      </w:tr>
      <w:tr>
        <w:tc>
          <w:tcPr>
            <w:tcW w:type="dxa" w:w="4939"/>
          </w:tcPr>
          <w:p>
            <w:r>
              <w:t>Python statement coverage</w:t>
            </w:r>
          </w:p>
        </w:tc>
        <w:tc>
          <w:tcPr>
            <w:tcW w:type="dxa" w:w="4939"/>
          </w:tcPr>
          <w:p>
            <w:r>
              <w:t>≥90% across maintained Python application code; justified exclusions only</w:t>
            </w:r>
          </w:p>
        </w:tc>
      </w:tr>
      <w:tr>
        <w:tc>
          <w:tcPr>
            <w:tcW w:type="dxa" w:w="4939"/>
          </w:tcPr>
          <w:p>
            <w:r>
              <w:t>Python branch coverage</w:t>
            </w:r>
          </w:p>
        </w:tc>
        <w:tc>
          <w:tcPr>
            <w:tcW w:type="dxa" w:w="4939"/>
          </w:tcPr>
          <w:p>
            <w:r>
              <w:t>Reported separately on every automated verification run</w:t>
            </w:r>
          </w:p>
        </w:tc>
      </w:tr>
      <w:tr>
        <w:tc>
          <w:tcPr>
            <w:tcW w:type="dxa" w:w="4939"/>
          </w:tcPr>
          <w:p>
            <w:r>
              <w:t>Security tests and scanning</w:t>
            </w:r>
          </w:p>
        </w:tc>
        <w:tc>
          <w:tcPr>
            <w:tcW w:type="dxa" w:w="4939"/>
          </w:tcPr>
          <w:p>
            <w:r>
              <w:t>No unreviewed blocking findings; disposition retained</w:t>
            </w:r>
          </w:p>
        </w:tc>
      </w:tr>
      <w:tr>
        <w:tc>
          <w:tcPr>
            <w:tcW w:type="dxa" w:w="4939"/>
          </w:tcPr>
          <w:p>
            <w:r>
              <w:t>SBOM</w:t>
            </w:r>
          </w:p>
        </w:tc>
        <w:tc>
          <w:tcPr>
            <w:tcW w:type="dxa" w:w="4939"/>
          </w:tcPr>
          <w:p>
            <w:r>
              <w:t>CycloneDX/SPDX generated for resolved backend and frontend dependencies</w:t>
            </w:r>
          </w:p>
        </w:tc>
      </w:tr>
      <w:tr>
        <w:tc>
          <w:tcPr>
            <w:tcW w:type="dxa" w:w="4939"/>
          </w:tcPr>
          <w:p>
            <w:r>
              <w:t>Release artifacts</w:t>
            </w:r>
          </w:p>
        </w:tc>
        <w:tc>
          <w:tcPr>
            <w:tcW w:type="dxa" w:w="4939"/>
          </w:tcPr>
          <w:p>
            <w:r>
              <w:t>Revision, test/coverage/security results, known defects, limitations retained</w:t>
            </w:r>
          </w:p>
        </w:tc>
      </w:tr>
    </w:tbl>
    <w:p>
      <w:r>
        <w:t>A passing 90% coverage gate is evidence of test execution, not evidence of clinical safety or regulatory compliance. Critical alarm and risk-control branches should receive boundary and negative tests regardless of overall coverage percentage.</w:t>
      </w:r>
    </w:p>
    <w:p>
      <w:pPr>
        <w:pStyle w:val="Heading1"/>
      </w:pPr>
      <w:r>
        <w:t>13. Release, update and vulnerability lifecycle</w:t>
      </w:r>
    </w:p>
    <w:p>
      <w:r>
        <w:t>Release package records revision, lockfiles, SBOM, verification artifacts, known anomalies, vulnerability disposition and limitations. Updates follow integrity verification, regression tests, documented rollback and a controlled exercise (SEC-015). Vulnerabilities follow intake → affected-component identification → risk assessment → remediation decision → fix and regression → updated evidence. Any unresolved security anomaly requires explicit review and acceptance before release.</w:t>
      </w:r>
    </w:p>
    <w:p>
      <w:pPr>
        <w:pStyle w:val="Heading1"/>
      </w:pPr>
      <w:r>
        <w:t>14. Regulatory alignment and evidence boundaries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Source</w:t>
            </w:r>
          </w:p>
        </w:tc>
        <w:tc>
          <w:tcPr>
            <w:tcW w:type="dxa" w:w="3293"/>
          </w:tcPr>
          <w:p>
            <w:r>
              <w:t>Design response</w:t>
            </w:r>
          </w:p>
        </w:tc>
        <w:tc>
          <w:tcPr>
            <w:tcW w:type="dxa" w:w="3293"/>
          </w:tcPr>
          <w:p>
            <w:r>
              <w:t>Interpretation</w:t>
            </w:r>
          </w:p>
        </w:tc>
      </w:tr>
      <w:tr>
        <w:tc>
          <w:tcPr>
            <w:tcW w:type="dxa" w:w="3293"/>
          </w:tcPr>
          <w:p>
            <w:r>
              <w:t>FDA February 2026 premarket cybersecurity guidance</w:t>
            </w:r>
          </w:p>
        </w:tc>
        <w:tc>
          <w:tcPr>
            <w:tcW w:type="dxa" w:w="3293"/>
          </w:tcPr>
          <w:p>
            <w:r>
              <w:t>SPDF, threat model, security architecture views, cybersecurity testing, SBOM, vulnerability lifecycle</w:t>
            </w:r>
          </w:p>
        </w:tc>
        <w:tc>
          <w:tcPr>
            <w:tcW w:type="dxa" w:w="3293"/>
          </w:tcPr>
          <w:p>
            <w:r>
              <w:t>Guidance generally nonbinding; section 524B duties require applicability analysis</w:t>
            </w:r>
          </w:p>
        </w:tc>
      </w:tr>
      <w:tr>
        <w:tc>
          <w:tcPr>
            <w:tcW w:type="dxa" w:w="3293"/>
          </w:tcPr>
          <w:p>
            <w:r>
              <w:t>MDCG 2019-16</w:t>
            </w:r>
          </w:p>
        </w:tc>
        <w:tc>
          <w:tcPr>
            <w:tcW w:type="dxa" w:w="3293"/>
          </w:tcPr>
          <w:p>
            <w:r>
              <w:t>Secure design, risk linkage, operating environment, lifecycle and user documentation</w:t>
            </w:r>
          </w:p>
        </w:tc>
        <w:tc>
          <w:tcPr>
            <w:tcW w:type="dxa" w:w="3293"/>
          </w:tcPr>
          <w:p>
            <w:r>
              <w:t>Guidance, not independent proof of EU MDR conformity</w:t>
            </w:r>
          </w:p>
        </w:tc>
      </w:tr>
      <w:tr>
        <w:tc>
          <w:tcPr>
            <w:tcW w:type="dxa" w:w="3293"/>
          </w:tcPr>
          <w:p>
            <w:r>
              <w:t>GDPR Regulation (EU) 2016/679</w:t>
            </w:r>
          </w:p>
        </w:tc>
        <w:tc>
          <w:tcPr>
            <w:tcW w:type="dxa" w:w="3293"/>
          </w:tcPr>
          <w:p>
            <w:r>
              <w:t>Data minimization, privacy-by-design, security and processing inventory</w:t>
            </w:r>
          </w:p>
        </w:tc>
        <w:tc>
          <w:tcPr>
            <w:tcW w:type="dxa" w:w="3293"/>
          </w:tcPr>
          <w:p>
            <w:r>
              <w:t>Legal obligations apply only where personal data processing is within scope</w:t>
            </w:r>
          </w:p>
        </w:tc>
      </w:tr>
      <w:tr>
        <w:tc>
          <w:tcPr>
            <w:tcW w:type="dxa" w:w="3293"/>
          </w:tcPr>
          <w:p>
            <w:r>
              <w:t>SPMS Requirements v1.1</w:t>
            </w:r>
          </w:p>
        </w:tc>
        <w:tc>
          <w:tcPr>
            <w:tcW w:type="dxa" w:w="3293"/>
          </w:tcPr>
          <w:p>
            <w:r>
              <w:t>Trace FR/SF/AR/QA/DOC/SEC/PRIV to components and verification</w:t>
            </w:r>
          </w:p>
        </w:tc>
        <w:tc>
          <w:tcPr>
            <w:tcW w:type="dxa" w:w="3293"/>
          </w:tcPr>
          <w:p>
            <w:r>
              <w:t>Project baseline; additional SEC/PRIV items are proposed engineering requirements</w:t>
            </w:r>
          </w:p>
        </w:tc>
      </w:tr>
    </w:tbl>
    <w:p>
      <w:r>
        <w:t>The assumed FDA Class II device context does not establish a classification determination; it is distinct from IEC 62304 software safety class. Formal regulatory submissions, conformity assessments, organizational QMS processes and legal privacy obligations are outside this educational prototype unless separately undertaken.</w:t>
      </w:r>
    </w:p>
    <w:p>
      <w:pPr>
        <w:pStyle w:val="Heading1"/>
      </w:pPr>
      <w:r>
        <w:t>15. Traceability index (architecture → requirements)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Architecture area</w:t>
            </w:r>
          </w:p>
        </w:tc>
        <w:tc>
          <w:tcPr>
            <w:tcW w:type="dxa" w:w="4939"/>
          </w:tcPr>
          <w:p>
            <w:r>
              <w:t>Requirement IDs</w:t>
            </w:r>
          </w:p>
        </w:tc>
      </w:tr>
      <w:tr>
        <w:tc>
          <w:tcPr>
            <w:tcW w:type="dxa" w:w="4939"/>
          </w:tcPr>
          <w:p>
            <w:r>
              <w:t>Sensor + measurement pipeline</w:t>
            </w:r>
          </w:p>
        </w:tc>
        <w:tc>
          <w:tcPr>
            <w:tcW w:type="dxa" w:w="4939"/>
          </w:tcPr>
          <w:p>
            <w:r>
              <w:t>FR-001–005, FR-015, AR-001–002</w:t>
            </w:r>
          </w:p>
        </w:tc>
      </w:tr>
      <w:tr>
        <w:tc>
          <w:tcPr>
            <w:tcW w:type="dxa" w:w="4939"/>
          </w:tcPr>
          <w:p>
            <w:r>
              <w:t>Alarm state machine and session handling</w:t>
            </w:r>
          </w:p>
        </w:tc>
        <w:tc>
          <w:tcPr>
            <w:tcW w:type="dxa" w:w="4939"/>
          </w:tcPr>
          <w:p>
            <w:r>
              <w:t>FR-006–010, FR-016, SF-004</w:t>
            </w:r>
          </w:p>
        </w:tc>
      </w:tr>
      <w:tr>
        <w:tc>
          <w:tcPr>
            <w:tcW w:type="dxa" w:w="4939"/>
          </w:tcPr>
          <w:p>
            <w:r>
              <w:t>Staleness, UI and communications</w:t>
            </w:r>
          </w:p>
        </w:tc>
        <w:tc>
          <w:tcPr>
            <w:tcW w:type="dxa" w:w="4939"/>
          </w:tcPr>
          <w:p>
            <w:r>
              <w:t>FR-002–003, FR-011–012, SF-001–003, SEC-016</w:t>
            </w:r>
          </w:p>
        </w:tc>
      </w:tr>
      <w:tr>
        <w:tc>
          <w:tcPr>
            <w:tcW w:type="dxa" w:w="4939"/>
          </w:tcPr>
          <w:p>
            <w:r>
              <w:t>Event repository and failure isolation</w:t>
            </w:r>
          </w:p>
        </w:tc>
        <w:tc>
          <w:tcPr>
            <w:tcW w:type="dxa" w:w="4939"/>
          </w:tcPr>
          <w:p>
            <w:r>
              <w:t>FR-013–014, SF-005</w:t>
            </w:r>
          </w:p>
        </w:tc>
      </w:tr>
      <w:tr>
        <w:tc>
          <w:tcPr>
            <w:tcW w:type="dxa" w:w="4939"/>
          </w:tcPr>
          <w:p>
            <w:r>
              <w:t>Security boundaries and release</w:t>
            </w:r>
          </w:p>
        </w:tc>
        <w:tc>
          <w:tcPr>
            <w:tcW w:type="dxa" w:w="4939"/>
          </w:tcPr>
          <w:p>
            <w:r>
              <w:t>SEC-001–015</w:t>
            </w:r>
          </w:p>
        </w:tc>
      </w:tr>
      <w:tr>
        <w:tc>
          <w:tcPr>
            <w:tcW w:type="dxa" w:w="4939"/>
          </w:tcPr>
          <w:p>
            <w:r>
              <w:t>Privacy/data inventory</w:t>
            </w:r>
          </w:p>
        </w:tc>
        <w:tc>
          <w:tcPr>
            <w:tcW w:type="dxa" w:w="4939"/>
          </w:tcPr>
          <w:p>
            <w:r>
              <w:t>PRIV-001–008</w:t>
            </w:r>
          </w:p>
        </w:tc>
      </w:tr>
      <w:tr>
        <w:tc>
          <w:tcPr>
            <w:tcW w:type="dxa" w:w="4939"/>
          </w:tcPr>
          <w:p>
            <w:r>
              <w:t>Engineering verification and records</w:t>
            </w:r>
          </w:p>
        </w:tc>
        <w:tc>
          <w:tcPr>
            <w:tcW w:type="dxa" w:w="4939"/>
          </w:tcPr>
          <w:p>
            <w:r>
              <w:t>QA-001–008, SF-006, DOC-001–006, AR-004–006</w:t>
            </w:r>
          </w:p>
        </w:tc>
      </w:tr>
    </w:tbl>
    <w:p>
      <w:r>
        <w:t>The full requirements traceability matrix remains a separate controlled artifact and must link each individual requirement to exact source modules, test IDs and passing evidence. This index is not a substitute for that matrix.</w:t>
      </w:r>
    </w:p>
    <w:p>
      <w:pPr>
        <w:pStyle w:val="Heading1"/>
      </w:pPr>
      <w:r>
        <w:t>16. Open design decisions / limitations</w:t>
      </w:r>
    </w:p>
    <w:p>
      <w:pPr>
        <w:pStyle w:val="ListBullet"/>
      </w:pPr>
      <w:r>
        <w:t>Define production authentication mechanism and credential lifecycle before any non-loopback deployment.</w:t>
      </w:r>
    </w:p>
    <w:p>
      <w:pPr>
        <w:pStyle w:val="ListBullet"/>
      </w:pPr>
      <w:r>
        <w:t>Specify scheduler drift, backlog and performance acceptance methodology for FR-001/FR-002.</w:t>
      </w:r>
    </w:p>
    <w:p>
      <w:pPr>
        <w:pStyle w:val="ListBullet"/>
      </w:pPr>
      <w:r>
        <w:t>Specify database recovery and audit retention; current design does not guarantee delivery of events during an outage.</w:t>
      </w:r>
    </w:p>
    <w:p>
      <w:pPr>
        <w:pStyle w:val="ListBullet"/>
      </w:pPr>
      <w:r>
        <w:t>Specify deployment-specific TLS termination, origin restrictions, CSRF defenses, and WebSocket authentication renewal.</w:t>
      </w:r>
    </w:p>
    <w:p>
      <w:pPr>
        <w:pStyle w:val="ListBullet"/>
      </w:pPr>
      <w:r>
        <w:t>Define update signing/integrity tooling and rollback execution steps; no mechanism has yet been implemented.</w:t>
      </w:r>
    </w:p>
    <w:p>
      <w:pPr>
        <w:pStyle w:val="ListBullet"/>
      </w:pPr>
      <w:r>
        <w:t>Define detailed risk scoring and acceptance process in the separate risk management plan.</w:t>
      </w:r>
    </w:p>
    <w:p>
      <w:pPr>
        <w:pStyle w:val="ListBullet"/>
      </w:pPr>
      <w:r>
        <w:t>Backend restart terminates volatile active session state; history persists, but automatic active-session recovery is out of scope.</w:t>
      </w:r>
    </w:p>
    <w:p>
      <w:pPr>
        <w:pStyle w:val="Heading1"/>
      </w:pPr>
      <w:r>
        <w:t>17. Source documents and change record</w:t>
      </w:r>
    </w:p>
    <w:p>
      <w:pPr>
        <w:pStyle w:val="ListBullet"/>
      </w:pPr>
      <w:r>
        <w:t>SPMS Software Requirements and Acceptance Criteria, Version 1.0, 5 October 2026.</w:t>
      </w:r>
    </w:p>
    <w:p>
      <w:pPr>
        <w:pStyle w:val="ListBullet"/>
      </w:pPr>
      <w:r>
        <w:t>SPMS Requirements v1.1 Updated, 10 October 2026, including proposed SEC and PRIV addendum.</w:t>
      </w:r>
    </w:p>
    <w:p>
      <w:pPr>
        <w:pStyle w:val="ListBullet"/>
      </w:pPr>
      <w:r>
        <w:t>SPMS Architecture Overview v1.1, 10 October 2026.</w:t>
      </w:r>
    </w:p>
    <w:p>
      <w:pPr>
        <w:pStyle w:val="ListBullet"/>
      </w:pPr>
      <w:r>
        <w:t>FDA, Cybersecurity in Medical Devices: Quality Management System Considerations and Content of Premarket Submissions, issued 3 February 2026.</w:t>
      </w:r>
    </w:p>
    <w:p>
      <w:pPr>
        <w:pStyle w:val="ListBullet"/>
      </w:pPr>
      <w:r>
        <w:t>Regulation (EU) 2016/679 (GDPR), 27 April 2016.</w:t>
      </w:r>
    </w:p>
    <w:p>
      <w:pPr>
        <w:pStyle w:val="ListBullet"/>
      </w:pPr>
      <w:r>
        <w:t>MDCG 2019-16, Guidance on Cybersecurity for Medical Devices, December 2019.</w:t>
      </w:r>
    </w:p>
    <w:p>
      <w:r>
        <w:t>Revision 1.2: expanded v1.1 overview into detailed proposed architecture; added component contracts, runtime flows, persistence schema, trust boundaries, threat examples, verification and release architecture. No implementation or verification is claimed.</w:t>
      </w:r>
    </w:p>
    <w:p>
      <w:r>
        <w:br w:type="page"/>
      </w:r>
    </w:p>
    <w:p>
      <w:pPr>
        <w:pStyle w:val="Title"/>
      </w:pPr>
      <w:r>
        <w:t>CONTROLLED REVISION ADDENDUM</w:t>
      </w:r>
    </w:p>
    <w:p>
      <w:r>
        <w:t>SPMS-SAD-001 | Revision 1.3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Architecture decision records</w:t>
      </w:r>
    </w:p>
    <w:p>
      <w:r>
        <w:t>ADR-001 Single-process backend: one in-memory session authority; multiworker unsupported. ADR-002 Separate monitoring-event and security-audit sinks with distinct failure semantics. ADR-003 State revisions and full-snapshot reconnection. ADR-004 No crash-time restoration of active alarm episodes. ADR-005 Network mode only with TLS, role checks and session-scoped access.</w:t>
      </w:r>
    </w:p>
    <w:p>
      <w:pPr>
        <w:pStyle w:val="Heading2"/>
      </w:pPr>
      <w:r>
        <w:t>Trust boundaries and security flows</w:t>
      </w:r>
    </w:p>
    <w:p>
      <w:r>
        <w:t>TB-1 browser↔API: authenticate REST and WS; check role, session, origin, CSRF protections for cookie-based commands, limits and token expiry. TB-2 application↔SQLite: least-privilege file permissions, parameterized queries, separated event/audit records, backup/retention review. TB-3 source↔CI↔release: pinned dependencies, reviewed changes, secret scans, SAST, SBOM, integrity verification and rollback test. No client-supplied alarm state is authoritative.</w:t>
      </w:r>
    </w:p>
    <w:p>
      <w:pPr>
        <w:pStyle w:val="Heading2"/>
      </w:pPr>
      <w:r>
        <w:t>State and failure invariants</w:t>
      </w:r>
    </w:p>
    <w:p>
      <w:r>
        <w:t>Ticks, alarm acknowledgment, stop and sensor controls are serialized. Accepted mutations increment revision. Missing scheduled tick resets pending count. On monitoring-store failure evaluate alarm, flag incomplete history and publish status; on audit-store failure deny accountable network operator command before mutation. Process restart creates no active session.</w:t>
      </w:r>
    </w:p>
    <w:p>
      <w:pPr>
        <w:pStyle w:val="Heading2"/>
      </w:pPr>
      <w:r>
        <w:t>WebSocket protocol</w:t>
      </w:r>
    </w:p>
    <w:p>
      <w:r>
        <w:t>Connect only after authentication and session authorization. Server emits full revisioned state snapshots; client rejects revisions older than latest displayed; on reconnect GET authoritative state and subscribe again. Expiry/revocation closes or rejects ongoing session at defined revalidation points. Explicit connection-loss UI state never implies sensor disconnect.</w:t>
      </w:r>
    </w:p>
    <w:p>
      <w:pPr>
        <w:pStyle w:val="Heading2"/>
      </w:pPr>
      <w:r>
        <w:t>Deployment boundary</w:t>
      </w:r>
    </w:p>
    <w:p>
      <w:r>
        <w:t>One process, local 127.0.0.1 default. Remote access disabled unless network mode explicitly configured with TLS and identity provider. SQLite is not treated as a multi-process synchronization mechanism.</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FC693F" w:rsidRPr="0006063C" w:rsidSect="00034616">
      <w:headerReference w:type="default" r:id="rId9"/>
      <w:footerReference w:type="default" r:id="rId10"/>
      <w:pgSz w:w="12240" w:h="15840"/>
      <w:pgMar w:top="1080" w:right="1181" w:bottom="936"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Proposed design • Educational simulation only • Not for clinical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9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9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