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Development Plan</w:t>
      </w:r>
    </w:p>
    <w:p>
      <w:r>
        <w:t>SPMS-SDP-001 | Version 1.0 | 10 October 2026 | PROPOSED / NOT APPROVED</w:t>
      </w:r>
    </w:p>
    <w:p>
      <w:pPr>
        <w:pStyle w:val="Heading2"/>
      </w:pPr>
      <w:r>
        <w:t>Purpose and scope</w:t>
      </w:r>
    </w:p>
    <w:p>
      <w:r>
        <w:t>Educational synthetic-only SPMS, one-process local-first modular monolith. No actual FDA classification, clearance or conformity claim. This plan governs SRS, architecture, detailed design, risk, verification, change control and release evidence.</w:t>
      </w:r>
    </w:p>
    <w:p>
      <w:pPr>
        <w:pStyle w:val="Heading2"/>
      </w:pPr>
      <w:r>
        <w:t>Lifecycle and responsibilities</w:t>
      </w:r>
    </w:p>
    <w:p>
      <w:r>
        <w:t>Iterative requirements→risk analysis→architecture→detailed design→test-first implementation→verification→review→release. Roles: Requirements owner approves behavior; engineering owner approves design; independent reviewer (mentor where available) reviews risk controls and verification; release owner approves educational release. One person may hold multiple roles but records the role performed.</w:t>
      </w:r>
    </w:p>
    <w:p>
      <w:pPr>
        <w:pStyle w:val="Heading2"/>
      </w:pPr>
      <w:r>
        <w:t>Configuration and change control</w:t>
      </w:r>
    </w:p>
    <w:p>
      <w:r>
        <w:t>Use versioned document IDs, source-control commits, reviewed pull requests, locked dependency manifests, immutable CI artifacts and a change log. Every change identifies affected requirements, risk controls, architecture, tests, cybersecurity and privacy assumptions. Unresolved issues are tracked as anomalies.</w:t>
      </w:r>
    </w:p>
    <w:p>
      <w:pPr>
        <w:pStyle w:val="Heading2"/>
      </w:pPr>
      <w:r>
        <w:t>Engineering quality gates</w:t>
      </w:r>
    </w:p>
    <w:p>
      <w:r>
        <w:t>TDD red-green-refactor; Ruff formatting/lint, mypy, pytest unit/integration, Vitest/Playwright frontend, security scans, secret scans and dependency scans. Python statement coverage ≥90%, branch coverage reported, all safety-critical transitions tested, all linked risk controls verified.</w:t>
      </w:r>
    </w:p>
    <w:p>
      <w:pPr>
        <w:pStyle w:val="Heading2"/>
      </w:pPr>
      <w:r>
        <w:t>Release and maintenance</w:t>
      </w:r>
    </w:p>
    <w:p>
      <w:r>
        <w:t>Before educational release: requirements and risk reviews approved, critical test cases pass, security findings dispositioned, exact-version SBOM produced, deployment mode tested, rollback exercise recorded, open anomalies reviewed. Monitor dependency advisories after release; maintain issue and vulnerability triage records. No clinical deployment.</w:t>
      </w:r>
    </w:p>
    <w:p>
      <w:pPr>
        <w:pStyle w:val="Heading2"/>
      </w:pPr>
      <w:r>
        <w:t>Applicability assessment</w:t>
      </w:r>
    </w:p>
    <w:p>
      <w:r>
        <w:t>IEC 62304 and ISO 14971 are engineering reference frameworks; actual edition/clause conformity and software safety class not established. FDA Feb 2026 and MDCG 2019-16 are guidance; EU MDR and GDPR require separate jurisdictional and product/data applicability decisions. Record assumptions and reviewer signoff.</w:t>
      </w:r>
    </w:p>
    <w:p>
      <w:pPr>
        <w:pStyle w:val="Heading2"/>
      </w:pPr>
      <w:r>
        <w:t>Review record</w:t>
      </w:r>
    </w:p>
    <w:p>
      <w:r>
        <w:t>Owner: TBD | Reviewer: TBD | Approval date: PENDING | Evidence status: NOT RUN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SPMS | CONTROLLED ENGINEERING DRAFT | NOT VERIFIED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