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Test Plan</w:t>
      </w:r>
    </w:p>
    <w:p>
      <w:r>
        <w:t>Simulated Patient Monitoring System (SPMS)</w:t>
      </w:r>
    </w:p>
    <w:p>
      <w:r>
        <w:t>Document ID SPMS-STP-001  •  Version 1.0  •  10 October 2026  •  Status: Proposed / Not executed</w:t>
      </w:r>
    </w:p>
    <w:p>
      <w:pPr>
        <w:pStyle w:val="Heading1"/>
      </w:pPr>
      <w:r>
        <w:t>1. Purpose and scope</w:t>
      </w:r>
    </w:p>
    <w:p>
      <w:r>
        <w:t>Defines planned verification of SPMS Requirements v1.1 against Architecture v1.2 and Detailed Design v1.0. The system is an educational, synthetic-data-only simulation; this plan is not evidence of FDA clearance or completed regulatory compliance. Test outcomes remain NOT RUN until executed against a recorded revision.</w:t>
      </w:r>
    </w:p>
    <w:p>
      <w:pPr>
        <w:pStyle w:val="Heading1"/>
      </w:pPr>
      <w:r>
        <w:t>2. Controlled references</w:t>
      </w:r>
    </w:p>
    <w:p>
      <w:pPr>
        <w:pStyle w:val="ListBullet"/>
      </w:pPr>
      <w:r>
        <w:t>SPMS Requirements v1.1 — source of requirement IDs and acceptance criteria</w:t>
      </w:r>
    </w:p>
    <w:p>
      <w:pPr>
        <w:pStyle w:val="ListBullet"/>
      </w:pPr>
      <w:r>
        <w:t>SPMS Software Architecture Description v1.2 — architectural boundaries and communication</w:t>
      </w:r>
    </w:p>
    <w:p>
      <w:pPr>
        <w:pStyle w:val="ListBullet"/>
      </w:pPr>
      <w:r>
        <w:t>SPMS Software Detailed Design v1.0 — interfaces, alarm transitions, persistence, and security</w:t>
      </w:r>
    </w:p>
    <w:p>
      <w:pPr>
        <w:pStyle w:val="ListBullet"/>
      </w:pPr>
      <w:r>
        <w:t>Mentor guidance: FDA cybersecurity guidance (2026), GDPR, and MDCG 2019-16 — regulatory context; applicability requires separate assessment</w:t>
      </w:r>
    </w:p>
    <w:p>
      <w:pPr>
        <w:pStyle w:val="Heading1"/>
      </w:pPr>
      <w:r>
        <w:t>3. Test levels and tooling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Tool</w:t>
            </w:r>
          </w:p>
        </w:tc>
        <w:tc>
          <w:tcPr>
            <w:tcW w:type="dxa" w:w="2880"/>
          </w:tcPr>
          <w:p>
            <w:r>
              <w:t>Primary evidence</w:t>
            </w:r>
          </w:p>
        </w:tc>
      </w:tr>
      <w:tr>
        <w:tc>
          <w:tcPr>
            <w:tcW w:type="dxa" w:w="2880"/>
          </w:tcPr>
          <w:p>
            <w:r>
              <w:t>Unit</w:t>
            </w:r>
          </w:p>
        </w:tc>
        <w:tc>
          <w:tcPr>
            <w:tcW w:type="dxa" w:w="2880"/>
          </w:tcPr>
          <w:p>
            <w:r>
              <w:t>pytest; fake clock, controlled sensor</w:t>
            </w:r>
          </w:p>
        </w:tc>
        <w:tc>
          <w:tcPr>
            <w:tcW w:type="dxa" w:w="2880"/>
          </w:tcPr>
          <w:p>
            <w:r>
              <w:t>Boundary and state-transition assertions</w:t>
            </w:r>
          </w:p>
        </w:tc>
      </w:tr>
      <w:tr>
        <w:tc>
          <w:tcPr>
            <w:tcW w:type="dxa" w:w="2880"/>
          </w:tcPr>
          <w:p>
            <w:r>
              <w:t>Integration</w:t>
            </w:r>
          </w:p>
        </w:tc>
        <w:tc>
          <w:tcPr>
            <w:tcW w:type="dxa" w:w="2880"/>
          </w:tcPr>
          <w:p>
            <w:r>
              <w:t>pytest, HTTPX, temporary SQLite</w:t>
            </w:r>
          </w:p>
        </w:tc>
        <w:tc>
          <w:tcPr>
            <w:tcW w:type="dxa" w:w="2880"/>
          </w:tcPr>
          <w:p>
            <w:r>
              <w:t>State/event/transport interaction</w:t>
            </w:r>
          </w:p>
        </w:tc>
      </w:tr>
      <w:tr>
        <w:tc>
          <w:tcPr>
            <w:tcW w:type="dxa" w:w="2880"/>
          </w:tcPr>
          <w:p>
            <w:r>
              <w:t>UI / E2E</w:t>
            </w:r>
          </w:p>
        </w:tc>
        <w:tc>
          <w:tcPr>
            <w:tcW w:type="dxa" w:w="2880"/>
          </w:tcPr>
          <w:p>
            <w:r>
              <w:t>Playwright, Vitest</w:t>
            </w:r>
          </w:p>
        </w:tc>
        <w:tc>
          <w:tcPr>
            <w:tcW w:type="dxa" w:w="2880"/>
          </w:tcPr>
          <w:p>
            <w:r>
              <w:t>Visible workflows, warning labels, authorization</w:t>
            </w:r>
          </w:p>
        </w:tc>
      </w:tr>
      <w:tr>
        <w:tc>
          <w:tcPr>
            <w:tcW w:type="dxa" w:w="2880"/>
          </w:tcPr>
          <w:p>
            <w:r>
              <w:t>Security</w:t>
            </w:r>
          </w:p>
        </w:tc>
        <w:tc>
          <w:tcPr>
            <w:tcW w:type="dxa" w:w="2880"/>
          </w:tcPr>
          <w:p>
            <w:r>
              <w:t>Bandit, dependency audits, secret scanner; negative tests</w:t>
            </w:r>
          </w:p>
        </w:tc>
        <w:tc>
          <w:tcPr>
            <w:tcW w:type="dxa" w:w="2880"/>
          </w:tcPr>
          <w:p>
            <w:r>
              <w:t>Security scans, threat-control test results</w:t>
            </w:r>
          </w:p>
        </w:tc>
      </w:tr>
      <w:tr>
        <w:tc>
          <w:tcPr>
            <w:tcW w:type="dxa" w:w="2880"/>
          </w:tcPr>
          <w:p>
            <w:r>
              <w:t>Quality</w:t>
            </w:r>
          </w:p>
        </w:tc>
        <w:tc>
          <w:tcPr>
            <w:tcW w:type="dxa" w:w="2880"/>
          </w:tcPr>
          <w:p>
            <w:r>
              <w:t>Ruff, mypy, pytest-cov</w:t>
            </w:r>
          </w:p>
        </w:tc>
        <w:tc>
          <w:tcPr>
            <w:tcW w:type="dxa" w:w="2880"/>
          </w:tcPr>
          <w:p>
            <w:r>
              <w:t>Lint/type output, statement and branch coverage</w:t>
            </w:r>
          </w:p>
        </w:tc>
      </w:tr>
      <w:tr>
        <w:tc>
          <w:tcPr>
            <w:tcW w:type="dxa" w:w="2880"/>
          </w:tcPr>
          <w:p>
            <w:r>
              <w:t>Release</w:t>
            </w:r>
          </w:p>
        </w:tc>
        <w:tc>
          <w:tcPr>
            <w:tcW w:type="dxa" w:w="2880"/>
          </w:tcPr>
          <w:p>
            <w:r>
              <w:t>SBOM tooling, controlled rollback exercise</w:t>
            </w:r>
          </w:p>
        </w:tc>
        <w:tc>
          <w:tcPr>
            <w:tcW w:type="dxa" w:w="2880"/>
          </w:tcPr>
          <w:p>
            <w:r>
              <w:t>SBOM, scan disposition, signed-off release record</w:t>
            </w:r>
          </w:p>
        </w:tc>
      </w:tr>
    </w:tbl>
    <w:p>
      <w:pPr>
        <w:pStyle w:val="Heading1"/>
      </w:pPr>
      <w:r>
        <w:t>4. Test environment and determinism</w:t>
      </w:r>
    </w:p>
    <w:p>
      <w:r>
        <w:t>Use pinned Python and frontend dependencies, isolated test databases, synthetic fixtures, deterministic timestamps and a fake clock. Never use actual patient data. Use loopback binding for local mode; network-mode tests verify TLS/WSS and authentication. Freeze or mock scheduler time for timing-sensitive tests; measure UI latency with a monotonic clock under a documented test environment.</w:t>
      </w:r>
    </w:p>
    <w:p>
      <w:pPr>
        <w:pStyle w:val="Heading1"/>
      </w:pPr>
      <w:r>
        <w:t>5. Entry and exit criteria</w:t>
      </w:r>
    </w:p>
    <w:p>
      <w:r>
        <w:t>Entry: approved baseline and acceptance criteria, available test harness, stable build, identified risk controls, and controlled fixtures. Exit: every applicable requirement has passing verification evidence or a documented deviation; no unresolved blocking defects; 90% or greater statement coverage of maintained Python application code; branch coverage reported; required lint, formatting, security, and dependency gates completed. Coverage alone does not establish safety or regulatory conformity.</w:t>
      </w:r>
    </w:p>
    <w:p>
      <w:pPr>
        <w:pStyle w:val="Heading1"/>
      </w:pPr>
      <w:r>
        <w:t>6. Critical test scenarios</w:t>
      </w:r>
    </w:p>
    <w:p>
      <w:pPr>
        <w:pStyle w:val="ListBullet"/>
      </w:pPr>
      <w:r>
        <w:t>TC-FR-004 — 0 and 300 bpm; 0 and 100% SpO₂ accepted; NaN, inf, text, missing and out-of-range rejected</w:t>
      </w:r>
    </w:p>
    <w:p>
      <w:pPr>
        <w:pStyle w:val="ListBullet"/>
      </w:pPr>
      <w:r>
        <w:t>TC-FR-006 — 91,90,89 activates on third; 92 is not low</w:t>
      </w:r>
    </w:p>
    <w:p>
      <w:pPr>
        <w:pStyle w:val="ListBullet"/>
      </w:pPr>
      <w:r>
        <w:t>TC-FR-007 — 92, invalid input and disconnect each reset pending low counter</w:t>
      </w:r>
    </w:p>
    <w:p>
      <w:pPr>
        <w:pStyle w:val="ListBullet"/>
      </w:pPr>
      <w:r>
        <w:t>TC-FR-008 — two recovery readings do not clear; third clears; invalid resets recovery counter</w:t>
      </w:r>
    </w:p>
    <w:p>
      <w:pPr>
        <w:pStyle w:val="ListBullet"/>
      </w:pPr>
      <w:r>
        <w:t>TC-FR-009 — acknowledge active episode without clearing condition</w:t>
      </w:r>
    </w:p>
    <w:p>
      <w:pPr>
        <w:pStyle w:val="ListBullet"/>
      </w:pPr>
      <w:r>
        <w:t>TC-FR-010 — new alarm episode requires fresh acknowledgment</w:t>
      </w:r>
    </w:p>
    <w:p>
      <w:pPr>
        <w:pStyle w:val="ListBullet"/>
      </w:pPr>
      <w:r>
        <w:t>TC-FR-011 — exactly five seconds current; five seconds plus epsilon stale; no reading shows No data</w:t>
      </w:r>
    </w:p>
    <w:p>
      <w:pPr>
        <w:pStyle w:val="ListBullet"/>
      </w:pPr>
      <w:r>
        <w:t>TC-FR-015 — duplicate and older timestamps rejected with no state/counter mutation</w:t>
      </w:r>
    </w:p>
    <w:p>
      <w:pPr>
        <w:pStyle w:val="ListBullet"/>
      </w:pPr>
      <w:r>
        <w:t>TC-SF-004 — disconnect preserves existing alarm</w:t>
      </w:r>
    </w:p>
    <w:p>
      <w:pPr>
        <w:pStyle w:val="ListBullet"/>
      </w:pPr>
      <w:r>
        <w:t>TC-SF-005 — repository throws; alarm processing continues; warning clears only after successful write</w:t>
      </w:r>
    </w:p>
    <w:p>
      <w:pPr>
        <w:pStyle w:val="ListBullet"/>
      </w:pPr>
      <w:r>
        <w:t>TC-SEC-002 — observer denied state change and cross-session subscription</w:t>
      </w:r>
    </w:p>
    <w:p>
      <w:pPr>
        <w:pStyle w:val="ListBullet"/>
      </w:pPr>
      <w:r>
        <w:t>TC-SEC-014 — unauthorized, stale and duplicate episode acknowledgment rejected</w:t>
      </w:r>
    </w:p>
    <w:p>
      <w:pPr>
        <w:pStyle w:val="ListBullet"/>
      </w:pPr>
      <w:r>
        <w:t>TC-SEC-016 — browser transport loss distinct from sensor loss; snapshot reconciliation</w:t>
      </w:r>
    </w:p>
    <w:p>
      <w:pPr>
        <w:pStyle w:val="ListBullet"/>
      </w:pPr>
      <w:r>
        <w:t>TC-PRIV-005 — credentials and tokens absent from logs</w:t>
      </w:r>
    </w:p>
    <w:p>
      <w:pPr>
        <w:pStyle w:val="Heading1"/>
      </w:pPr>
      <w:r>
        <w:t>7. Coverage and traceability</w:t>
      </w:r>
    </w:p>
    <w:p>
      <w:r>
        <w:t>Every requirement has a planned case ID in the companion RTM. These IDs are placeholders for executable tests, not assertions that test files exist. Link actual test path, source commit, CI run, and result after implementation. Each hazard or cybersecurity risk must additionally map to one or more verified controls. Statement coverage gate: ≥90%; report branch coverage separately; document justified exclusions.</w:t>
      </w:r>
    </w:p>
    <w:p>
      <w:pPr>
        <w:pStyle w:val="Heading1"/>
      </w:pPr>
      <w:r>
        <w:t>8. Defect, risk, and security evidence</w:t>
      </w:r>
    </w:p>
    <w:p>
      <w:r>
        <w:t>Record defect ID, severity, reproducibility, requirement IDs, impacted risk controls, remediation, regression test and disposition. Preserve threat model, vulnerability triage, dependency scans, SBOM, redacted audit logs, update/rollback exercise, and privacy review as controlled release evidence. Critical security findings require documented disposition before release.</w:t>
      </w:r>
    </w:p>
    <w:p>
      <w:pPr>
        <w:pStyle w:val="Heading1"/>
      </w:pPr>
      <w:r>
        <w:t>9. CI sequence and evidence retention</w:t>
      </w:r>
    </w:p>
    <w:p>
      <w:r>
        <w:t>Checkout → dependency lock validation → Ruff formatting/lint → mypy → secret/static/dependency scans → unit tests → integration tests → E2E tests → statement/branch coverage → SBOM → evidence archive → release review. Fail required quality gates on failed checks; preserve machine-readable JUnit, coverage XML, scan outputs, SBOM and revision metadata.</w:t>
      </w:r>
    </w:p>
    <w:p>
      <w:pPr>
        <w:pStyle w:val="Heading1"/>
      </w:pPr>
      <w:r>
        <w:t>10. Verification case register</w:t>
      </w:r>
    </w:p>
    <w:p>
      <w:r>
        <w:t>The full 66-item register, with exact source requirement wording and acceptance criteria, is maintained in SPMS_Requirements_Traceability_Matrix_v1.0.xlsx. The following totals reflect the requirements baseline:</w:t>
      </w:r>
    </w:p>
    <w:p>
      <w:r>
        <w:t>FR: 16  •  SF: 6  •  AR: 6  •  QA: 8  •  DOC: 6  •  SEC: 16  •  PRIV: 8</w:t>
      </w:r>
    </w:p>
    <w:p>
      <w:pPr>
        <w:pStyle w:val="Heading1"/>
      </w:pPr>
      <w:r>
        <w:t>11. Test execution record template</w:t>
      </w:r>
    </w:p>
    <w:p>
      <w:r>
        <w:t>Case ID | Requirement ID | Revision | Environment | Steps/Fixture | Expected Result | Actual Result | Pass/Fail/Blocked | Defect ID | Evidence Link | Reviewer | Date</w:t>
      </w:r>
    </w:p>
    <w:p>
      <w:pPr>
        <w:pStyle w:val="Heading1"/>
      </w:pPr>
      <w:r>
        <w:t>12. Open approvals</w:t>
      </w:r>
    </w:p>
    <w:p>
      <w:pPr>
        <w:pStyle w:val="ListBullet"/>
      </w:pPr>
      <w:r>
        <w:t>Approve test latency measurement method and tolerances for FR-002.</w:t>
      </w:r>
    </w:p>
    <w:p>
      <w:pPr>
        <w:pStyle w:val="ListBullet"/>
      </w:pPr>
      <w:r>
        <w:t>Approve authorization mechanism and mode-specific test environment.</w:t>
      </w:r>
    </w:p>
    <w:p>
      <w:pPr>
        <w:pStyle w:val="ListBullet"/>
      </w:pPr>
      <w:r>
        <w:t>Approve risk-control register and residual risk acceptance authority.</w:t>
      </w:r>
    </w:p>
    <w:p>
      <w:pPr>
        <w:pStyle w:val="ListBullet"/>
      </w:pPr>
      <w:r>
        <w:t>Approve vulnerability severity policy and security scan exception workflow.</w:t>
      </w:r>
    </w:p>
    <w:p>
      <w:pPr>
        <w:pStyle w:val="ListBullet"/>
      </w:pPr>
      <w:r>
        <w:t>Approve data retention and deletion parameters, including audit record exceptions.</w:t>
      </w:r>
    </w:p>
    <w:p>
      <w:r>
        <w:br w:type="page"/>
      </w:r>
    </w:p>
    <w:p>
      <w:pPr>
        <w:pStyle w:val="Title"/>
      </w:pPr>
      <w:r>
        <w:t>CONTROLLED REVISION ADDENDUM</w:t>
      </w:r>
    </w:p>
    <w:p>
      <w:r>
        <w:t>SPMS-STP-001 | Revision 1.1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Execution-ready verification expansion</w:t>
      </w:r>
    </w:p>
    <w:p>
      <w:r>
        <w:t>TC-CL-001: low(90),low(89),missed tick,low(88) =&gt; INACTIVE and low_count=1; active alarm remains active across missed tick. TC-CL-002: low(90),low(89),duplicate timestamp low(88),low(87) =&gt; activates on final reading (duplicate preserves counter). TC-CL-003: low(90),low(89),invalid SpO₂,low(88) =&gt; INACTIVE and low_count=1.</w:t>
      </w:r>
    </w:p>
    <w:p>
      <w:pPr>
        <w:pStyle w:val="Heading2"/>
      </w:pPr>
      <w:r>
        <w:t>Additional safety tests</w:t>
      </w:r>
    </w:p>
    <w:p>
      <w:r>
        <w:t>TC-CL-004: recovery(92),recovery(93),missed tick,recovery(94) while active =&gt; alarm remains ACTIVE with recovery_count=1. TC-CL-005: forced restart =&gt; NO_ACTIVE_SESSION, historical events readable if store available, new session required. TC-CL-006: event-store failure during third low reading =&gt; alarm activates, history marked INCOMPLETE, warning visible; later write success does not erase incompleteness.</w:t>
      </w:r>
    </w:p>
    <w:p>
      <w:pPr>
        <w:pStyle w:val="Heading2"/>
      </w:pPr>
      <w:r>
        <w:t>Additional security tests</w:t>
      </w:r>
    </w:p>
    <w:p>
      <w:r>
        <w:t>TC-CL-007: audit sink fails for network acknowledge =&gt; command denied, revision/ack unchanged. TC-CL-008: Observer cannot mutate or subscribe to unauthorized session; WS expiry/revocation disconnects. TC-CL-009: browser receives rev 5 after rev 6 =&gt; retains rev 6; reconnect GET reconciles. TC-CL-010: local mode cannot bind to external interface. TC-CL-011: release SBOM lists locked Python and JS dependencies; vulnerability exceptions have approvals.</w:t>
      </w:r>
    </w:p>
    <w:p>
      <w:pPr>
        <w:pStyle w:val="Heading2"/>
      </w:pPr>
      <w:r>
        <w:t>Evidence and exit criteria</w:t>
      </w:r>
    </w:p>
    <w:p>
      <w:r>
        <w:t>For each case record setup, fixture, steps, expected/actual intermediate states, environment, code commit, CI run, outcome, reviewer and defects. All identified risk controls require direct verification links; 90% Python statement coverage plus branch report is necessary but insufficient. All statuses remain NOT RUN until executed.</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0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