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86C24" w14:textId="77777777" w:rsidR="0024547B" w:rsidRDefault="00000000">
      <w:pPr>
        <w:pStyle w:val="Title"/>
      </w:pPr>
      <w:r>
        <w:t>Simulated Patient Monitoring Software</w:t>
      </w:r>
    </w:p>
    <w:p w14:paraId="2F695800" w14:textId="77777777" w:rsidR="0024547B" w:rsidRDefault="00000000">
      <w:pPr>
        <w:pStyle w:val="Subtitle"/>
      </w:pPr>
      <w:r>
        <w:t>Software requirements and acceptance criteria</w:t>
      </w:r>
    </w:p>
    <w:p w14:paraId="7761D74F" w14:textId="77777777" w:rsidR="0024547B" w:rsidRDefault="00000000">
      <w:r>
        <w:t>Document ID SPMS-SRS-001 | Version 1.2 | October 10, 2026 | DRAFT / NOT VERIFIED</w:t>
      </w:r>
    </w:p>
    <w:p w14:paraId="7F8DE456" w14:textId="77777777" w:rsidR="0024547B" w:rsidRDefault="00000000">
      <w:pPr>
        <w:pStyle w:val="Heading1"/>
      </w:pPr>
      <w:r>
        <w:t>1 Purpose and Scope</w:t>
      </w:r>
    </w:p>
    <w:p w14:paraId="017DB427" w14:textId="77777777" w:rsidR="0024547B" w:rsidRDefault="00000000">
      <w:r>
        <w:t>The application shall simulate a patient-monitoring system that displays synthetic heart rate and oxygen saturation readings, detects configured alarm conditions, and records monitoring events.</w:t>
      </w:r>
    </w:p>
    <w:p w14:paraId="4E74E7DA" w14:textId="77777777" w:rsidR="0024547B" w:rsidRDefault="00000000">
      <w:r>
        <w:t>The project shall demonstrate test-driven development, testable architecture, automated testing, linting, code-quality review, and requirements traceability.</w:t>
      </w:r>
    </w:p>
    <w:p w14:paraId="75EF6C10" w14:textId="77777777" w:rsidR="0024547B" w:rsidRDefault="00000000">
      <w:r>
        <w:t>The application is an educational prototype. It shall use synthetic data and shall not be used for diagnosis, treatment, or monitoring real patients. Class II medical-device development shall serve as the assumed regulatory context; this assumption does not establish FDA classification, clearance, or compliance.</w:t>
      </w:r>
    </w:p>
    <w:p w14:paraId="7D118D42" w14:textId="77777777" w:rsidR="0024547B" w:rsidRDefault="00000000">
      <w:pPr>
        <w:pStyle w:val="Heading1"/>
      </w:pPr>
      <w:r>
        <w:t>2 Intended User and Use</w:t>
      </w:r>
    </w:p>
    <w:p w14:paraId="2565091A" w14:textId="77777777" w:rsidR="0024547B" w:rsidRDefault="00000000">
      <w:r>
        <w:t>The intended user is a developer, tester, or evaluator demonstrating simulated monitoring workflows. The application shall support one simulated patient per monitoring session. The user shall be able to start a simulation, inspect readings, acknowledge alarms, simulate sensor failures, and review event history.</w:t>
      </w:r>
    </w:p>
    <w:p w14:paraId="301AE21E" w14:textId="77777777" w:rsidR="0024547B" w:rsidRDefault="00000000">
      <w:pPr>
        <w:pStyle w:val="Heading2"/>
      </w:pPr>
      <w:r>
        <w:t>Document Organization</w:t>
      </w:r>
    </w:p>
    <w:p w14:paraId="1261712B" w14:textId="77777777" w:rsidR="0024547B" w:rsidRDefault="00000000">
      <w:r>
        <w:t>Sections 3 and 4 define observable application behavior and failure handling. Section 5 defines architecture and code quality. Sections 6 and 7 define verification evidence and documentation. Section 8 defines project completion.</w:t>
      </w:r>
    </w:p>
    <w:p w14:paraId="3F3F310C" w14:textId="77777777" w:rsidR="0024547B" w:rsidRDefault="00000000">
      <w:r>
        <w:br w:type="page"/>
      </w:r>
    </w:p>
    <w:p w14:paraId="76497C90" w14:textId="77777777" w:rsidR="0024547B" w:rsidRDefault="00000000">
      <w:pPr>
        <w:pStyle w:val="Heading1"/>
      </w:pPr>
      <w:r>
        <w:lastRenderedPageBreak/>
        <w:t>3 Functional Requirements</w:t>
      </w:r>
    </w:p>
    <w:tbl>
      <w:tblPr>
        <w:tblW w:w="0" w:type="auto"/>
        <w:jc w:val="center"/>
        <w:tblLayout w:type="fixed"/>
        <w:tblLook w:val="04A0" w:firstRow="1" w:lastRow="0" w:firstColumn="1" w:lastColumn="0" w:noHBand="0" w:noVBand="1"/>
      </w:tblPr>
      <w:tblGrid>
        <w:gridCol w:w="936"/>
        <w:gridCol w:w="4896"/>
        <w:gridCol w:w="4392"/>
      </w:tblGrid>
      <w:tr w:rsidR="0024547B" w14:paraId="32575339"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25394D"/>
            <w:tcMar>
              <w:top w:w="85" w:type="dxa"/>
              <w:left w:w="85" w:type="dxa"/>
              <w:bottom w:w="85" w:type="dxa"/>
              <w:right w:w="85" w:type="dxa"/>
            </w:tcMar>
            <w:vAlign w:val="center"/>
          </w:tcPr>
          <w:p w14:paraId="7C3C8D08" w14:textId="77777777" w:rsidR="0024547B" w:rsidRDefault="00000000">
            <w:pPr>
              <w:spacing w:after="20" w:line="247" w:lineRule="auto"/>
              <w:jc w:val="center"/>
            </w:pPr>
            <w:r>
              <w:rPr>
                <w:b/>
                <w:color w:val="FFFFFF"/>
                <w:sz w:val="19"/>
              </w:rPr>
              <w:t>ID</w:t>
            </w:r>
          </w:p>
        </w:tc>
        <w:tc>
          <w:tcPr>
            <w:tcW w:w="4896" w:type="dxa"/>
            <w:tcBorders>
              <w:top w:val="single" w:sz="4" w:space="0" w:color="D9D9D9"/>
              <w:left w:val="single" w:sz="4" w:space="0" w:color="D9D9D9"/>
              <w:bottom w:val="single" w:sz="4" w:space="0" w:color="D9D9D9"/>
              <w:right w:val="single" w:sz="4" w:space="0" w:color="D9D9D9"/>
            </w:tcBorders>
            <w:shd w:val="clear" w:color="auto" w:fill="25394D"/>
            <w:tcMar>
              <w:top w:w="85" w:type="dxa"/>
              <w:left w:w="85" w:type="dxa"/>
              <w:bottom w:w="85" w:type="dxa"/>
              <w:right w:w="85" w:type="dxa"/>
            </w:tcMar>
            <w:vAlign w:val="center"/>
          </w:tcPr>
          <w:p w14:paraId="39FB5B53" w14:textId="77777777" w:rsidR="0024547B" w:rsidRDefault="00000000">
            <w:pPr>
              <w:spacing w:after="20" w:line="247" w:lineRule="auto"/>
            </w:pPr>
            <w:r>
              <w:rPr>
                <w:b/>
                <w:color w:val="FFFFFF"/>
                <w:sz w:val="19"/>
              </w:rPr>
              <w:t>Requirement</w:t>
            </w:r>
          </w:p>
        </w:tc>
        <w:tc>
          <w:tcPr>
            <w:tcW w:w="4392" w:type="dxa"/>
            <w:tcBorders>
              <w:top w:val="single" w:sz="4" w:space="0" w:color="D9D9D9"/>
              <w:left w:val="single" w:sz="4" w:space="0" w:color="D9D9D9"/>
              <w:bottom w:val="single" w:sz="4" w:space="0" w:color="D9D9D9"/>
              <w:right w:val="single" w:sz="4" w:space="0" w:color="D9D9D9"/>
            </w:tcBorders>
            <w:shd w:val="clear" w:color="auto" w:fill="25394D"/>
            <w:tcMar>
              <w:top w:w="85" w:type="dxa"/>
              <w:left w:w="85" w:type="dxa"/>
              <w:bottom w:w="85" w:type="dxa"/>
              <w:right w:w="85" w:type="dxa"/>
            </w:tcMar>
            <w:vAlign w:val="center"/>
          </w:tcPr>
          <w:p w14:paraId="7AEB5CE2" w14:textId="77777777" w:rsidR="0024547B" w:rsidRDefault="00000000">
            <w:pPr>
              <w:spacing w:after="20" w:line="247" w:lineRule="auto"/>
            </w:pPr>
            <w:r>
              <w:rPr>
                <w:b/>
                <w:color w:val="FFFFFF"/>
                <w:sz w:val="19"/>
              </w:rPr>
              <w:t>Acceptance Criteria</w:t>
            </w:r>
          </w:p>
        </w:tc>
      </w:tr>
      <w:tr w:rsidR="0024547B" w14:paraId="349A17B2"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5B2074C4" w14:textId="77777777" w:rsidR="0024547B" w:rsidRDefault="00000000">
            <w:pPr>
              <w:spacing w:after="20" w:line="247" w:lineRule="auto"/>
              <w:jc w:val="center"/>
            </w:pPr>
            <w:r>
              <w:rPr>
                <w:sz w:val="19"/>
              </w:rPr>
              <w:t>FR-001</w:t>
            </w:r>
          </w:p>
        </w:tc>
        <w:tc>
          <w:tcPr>
            <w:tcW w:w="489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072C72DA" w14:textId="77777777" w:rsidR="0024547B" w:rsidRDefault="00000000">
            <w:pPr>
              <w:spacing w:after="20" w:line="247" w:lineRule="auto"/>
            </w:pPr>
            <w:r>
              <w:rPr>
                <w:sz w:val="19"/>
              </w:rPr>
              <w:t>The application shall generate synthetic heart rate and oxygen saturation readings once per second during an active simulation.</w:t>
            </w:r>
          </w:p>
        </w:tc>
        <w:tc>
          <w:tcPr>
            <w:tcW w:w="439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4F3EBB09" w14:textId="77777777" w:rsidR="0024547B" w:rsidRDefault="00000000">
            <w:pPr>
              <w:spacing w:after="20" w:line="247" w:lineRule="auto"/>
            </w:pPr>
            <w:r>
              <w:rPr>
                <w:sz w:val="19"/>
              </w:rPr>
              <w:t>A controlled 10-second simulation produces 10 scheduled reading sets.</w:t>
            </w:r>
          </w:p>
        </w:tc>
      </w:tr>
      <w:tr w:rsidR="0024547B" w14:paraId="6E0E7B44"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8BCFD3" w14:textId="77777777" w:rsidR="0024547B" w:rsidRDefault="00000000">
            <w:pPr>
              <w:spacing w:after="20" w:line="247" w:lineRule="auto"/>
              <w:jc w:val="center"/>
            </w:pPr>
            <w:r>
              <w:rPr>
                <w:sz w:val="19"/>
              </w:rPr>
              <w:t>FR-002</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B0820F" w14:textId="77777777" w:rsidR="0024547B" w:rsidRDefault="00000000">
            <w:pPr>
              <w:spacing w:after="20" w:line="247" w:lineRule="auto"/>
            </w:pPr>
            <w:r>
              <w:rPr>
                <w:sz w:val="19"/>
              </w:rPr>
              <w:t>The frontend shall display each accepted reading within one second of receipt.</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7A39F6" w14:textId="77777777" w:rsidR="0024547B" w:rsidRDefault="00000000">
            <w:pPr>
              <w:spacing w:after="20" w:line="247" w:lineRule="auto"/>
            </w:pPr>
            <w:r>
              <w:rPr>
                <w:sz w:val="19"/>
              </w:rPr>
              <w:t>An automated integration test verifies the displayed value and elapsed time.</w:t>
            </w:r>
          </w:p>
        </w:tc>
      </w:tr>
      <w:tr w:rsidR="0024547B" w14:paraId="03537C08"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3C9BC4EF" w14:textId="77777777" w:rsidR="0024547B" w:rsidRDefault="00000000">
            <w:pPr>
              <w:spacing w:after="20" w:line="247" w:lineRule="auto"/>
              <w:jc w:val="center"/>
            </w:pPr>
            <w:r>
              <w:rPr>
                <w:sz w:val="19"/>
              </w:rPr>
              <w:t>FR-003</w:t>
            </w:r>
          </w:p>
        </w:tc>
        <w:tc>
          <w:tcPr>
            <w:tcW w:w="489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3EDEC796" w14:textId="77777777" w:rsidR="0024547B" w:rsidRDefault="00000000">
            <w:pPr>
              <w:spacing w:after="20" w:line="247" w:lineRule="auto"/>
            </w:pPr>
            <w:r>
              <w:rPr>
                <w:sz w:val="19"/>
              </w:rPr>
              <w:t>Each displayed measurement shall include its name, value, unit, and measurement timestamp.</w:t>
            </w:r>
          </w:p>
        </w:tc>
        <w:tc>
          <w:tcPr>
            <w:tcW w:w="439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039B9944" w14:textId="77777777" w:rsidR="0024547B" w:rsidRDefault="00000000">
            <w:pPr>
              <w:spacing w:after="20" w:line="247" w:lineRule="auto"/>
            </w:pPr>
            <w:r>
              <w:rPr>
                <w:sz w:val="19"/>
              </w:rPr>
              <w:t>Heart rate displays in bpm; oxygen saturation displays in percent; timestamps match accepted readings.</w:t>
            </w:r>
          </w:p>
        </w:tc>
      </w:tr>
      <w:tr w:rsidR="0024547B" w14:paraId="794E2F91"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C9E678" w14:textId="77777777" w:rsidR="0024547B" w:rsidRDefault="00000000">
            <w:pPr>
              <w:spacing w:after="20" w:line="247" w:lineRule="auto"/>
              <w:jc w:val="center"/>
            </w:pPr>
            <w:r>
              <w:rPr>
                <w:sz w:val="19"/>
              </w:rPr>
              <w:t>FR-004</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9B5FD7" w14:textId="77777777" w:rsidR="0024547B" w:rsidRDefault="00000000">
            <w:pPr>
              <w:spacing w:after="20" w:line="247" w:lineRule="auto"/>
            </w:pPr>
            <w:r>
              <w:rPr>
                <w:sz w:val="19"/>
              </w:rPr>
              <w:t>The application shall accept finite numeric heart rate values from 0–300 bpm and oxygen saturation values from 0–100%, inclusive. These ranges are simulation input limits.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B88835" w14:textId="77777777" w:rsidR="0024547B" w:rsidRDefault="00000000">
            <w:pPr>
              <w:spacing w:after="20" w:line="247" w:lineRule="auto"/>
            </w:pPr>
            <w:r>
              <w:rPr>
                <w:sz w:val="19"/>
              </w:rPr>
              <w:t>Boundary values are accepted; out-of-range, missing, nonnumeric, and nonfinite values are rejected.</w:t>
            </w:r>
          </w:p>
        </w:tc>
      </w:tr>
      <w:tr w:rsidR="0024547B" w14:paraId="05798CD8"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4783D778" w14:textId="77777777" w:rsidR="0024547B" w:rsidRDefault="00000000">
            <w:pPr>
              <w:spacing w:after="20" w:line="247" w:lineRule="auto"/>
              <w:jc w:val="center"/>
            </w:pPr>
            <w:r>
              <w:rPr>
                <w:sz w:val="19"/>
              </w:rPr>
              <w:t>FR-005</w:t>
            </w:r>
          </w:p>
        </w:tc>
        <w:tc>
          <w:tcPr>
            <w:tcW w:w="489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27EDF1EF" w14:textId="77777777" w:rsidR="0024547B" w:rsidRDefault="00000000">
            <w:pPr>
              <w:spacing w:after="20" w:line="247" w:lineRule="auto"/>
            </w:pPr>
            <w:r>
              <w:rPr>
                <w:sz w:val="19"/>
              </w:rPr>
              <w:t>Invalid readings shall not replace the last valid measurement. The frontend shall indicate invalid input, and the application shall record the rejection.</w:t>
            </w:r>
          </w:p>
        </w:tc>
        <w:tc>
          <w:tcPr>
            <w:tcW w:w="439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6E672168" w14:textId="77777777" w:rsidR="0024547B" w:rsidRDefault="00000000">
            <w:pPr>
              <w:spacing w:after="20" w:line="247" w:lineRule="auto"/>
            </w:pPr>
            <w:r>
              <w:rPr>
                <w:sz w:val="19"/>
              </w:rPr>
              <w:t>Injecting an invalid reading preserves the last valid value and creates a rejection event.</w:t>
            </w:r>
          </w:p>
        </w:tc>
      </w:tr>
      <w:tr w:rsidR="0024547B" w14:paraId="64000660"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1CE9E7" w14:textId="77777777" w:rsidR="0024547B" w:rsidRDefault="00000000">
            <w:pPr>
              <w:spacing w:after="20" w:line="247" w:lineRule="auto"/>
              <w:jc w:val="center"/>
            </w:pPr>
            <w:r>
              <w:rPr>
                <w:sz w:val="19"/>
              </w:rPr>
              <w:t>FR-006</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45F592" w14:textId="77777777" w:rsidR="0024547B" w:rsidRDefault="00000000">
            <w:pPr>
              <w:spacing w:after="20" w:line="247" w:lineRule="auto"/>
            </w:pPr>
            <w:r>
              <w:rPr>
                <w:sz w:val="19"/>
              </w:rPr>
              <w:t>The application shall activate a low-oxygen alarm after three consecutive valid readings below 92%. This threshold is a demonstration setting.</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EAB3C9" w14:textId="77777777" w:rsidR="0024547B" w:rsidRDefault="00000000">
            <w:pPr>
              <w:spacing w:after="20" w:line="247" w:lineRule="auto"/>
            </w:pPr>
            <w:r>
              <w:rPr>
                <w:sz w:val="19"/>
              </w:rPr>
              <w:t>Two readings below 92% do not activate the alarm; the third activates it. A value of exactly 92% is not low.</w:t>
            </w:r>
          </w:p>
        </w:tc>
      </w:tr>
      <w:tr w:rsidR="0024547B" w14:paraId="0E6EE66A"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70018157" w14:textId="77777777" w:rsidR="0024547B" w:rsidRDefault="00000000">
            <w:pPr>
              <w:spacing w:after="20" w:line="247" w:lineRule="auto"/>
              <w:jc w:val="center"/>
            </w:pPr>
            <w:r>
              <w:rPr>
                <w:sz w:val="19"/>
              </w:rPr>
              <w:t>FR-007</w:t>
            </w:r>
          </w:p>
        </w:tc>
        <w:tc>
          <w:tcPr>
            <w:tcW w:w="489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04CBD91A" w14:textId="77777777" w:rsidR="0024547B" w:rsidRDefault="00000000">
            <w:pPr>
              <w:spacing w:after="20" w:line="247" w:lineRule="auto"/>
            </w:pPr>
            <w:r>
              <w:rPr>
                <w:sz w:val="19"/>
              </w:rPr>
              <w:t>A valid oxygen reading at or above 92%, an invalid oxygen reading, or a sensor disconnect shall reset the pending low-oxygen count.</w:t>
            </w:r>
          </w:p>
        </w:tc>
        <w:tc>
          <w:tcPr>
            <w:tcW w:w="439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1B545C8A" w14:textId="77777777" w:rsidR="0024547B" w:rsidRDefault="00000000">
            <w:pPr>
              <w:spacing w:after="20" w:line="247" w:lineRule="auto"/>
            </w:pPr>
            <w:r>
              <w:rPr>
                <w:sz w:val="19"/>
              </w:rPr>
              <w:t>Each reset condition requires three new consecutive low readings before activation.</w:t>
            </w:r>
          </w:p>
        </w:tc>
      </w:tr>
      <w:tr w:rsidR="0024547B" w14:paraId="30FA6632"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8A2089" w14:textId="77777777" w:rsidR="0024547B" w:rsidRDefault="00000000">
            <w:pPr>
              <w:spacing w:after="20" w:line="247" w:lineRule="auto"/>
              <w:jc w:val="center"/>
            </w:pPr>
            <w:r>
              <w:rPr>
                <w:sz w:val="19"/>
              </w:rPr>
              <w:t>FR-008</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0F122C" w14:textId="77777777" w:rsidR="0024547B" w:rsidRDefault="00000000">
            <w:pPr>
              <w:spacing w:after="20" w:line="247" w:lineRule="auto"/>
            </w:pPr>
            <w:r>
              <w:rPr>
                <w:sz w:val="19"/>
              </w:rPr>
              <w:t>An active low-oxygen alarm shall clear after three consecutive valid oxygen readings at or above 92%. Invalid readings shall reset the recovery count.</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38D2C3" w14:textId="77777777" w:rsidR="0024547B" w:rsidRDefault="00000000">
            <w:pPr>
              <w:spacing w:after="20" w:line="247" w:lineRule="auto"/>
            </w:pPr>
            <w:r>
              <w:rPr>
                <w:sz w:val="19"/>
              </w:rPr>
              <w:t>Two qualifying recovery readings leave the alarm active; the third clears it.</w:t>
            </w:r>
          </w:p>
        </w:tc>
      </w:tr>
    </w:tbl>
    <w:p w14:paraId="112F6BED" w14:textId="77777777" w:rsidR="0024547B" w:rsidRDefault="00000000">
      <w:r>
        <w:br w:type="page"/>
      </w:r>
    </w:p>
    <w:p w14:paraId="634C1BD1" w14:textId="77777777" w:rsidR="0024547B" w:rsidRDefault="00000000">
      <w:pPr>
        <w:pStyle w:val="Heading1"/>
      </w:pPr>
      <w:r>
        <w:lastRenderedPageBreak/>
        <w:t>3 Functional Requirements Continued</w:t>
      </w:r>
    </w:p>
    <w:tbl>
      <w:tblPr>
        <w:tblW w:w="0" w:type="auto"/>
        <w:jc w:val="center"/>
        <w:tblLayout w:type="fixed"/>
        <w:tblLook w:val="04A0" w:firstRow="1" w:lastRow="0" w:firstColumn="1" w:lastColumn="0" w:noHBand="0" w:noVBand="1"/>
      </w:tblPr>
      <w:tblGrid>
        <w:gridCol w:w="936"/>
        <w:gridCol w:w="4896"/>
        <w:gridCol w:w="4392"/>
      </w:tblGrid>
      <w:tr w:rsidR="0024547B" w14:paraId="0265A56A"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25394D"/>
            <w:tcMar>
              <w:top w:w="85" w:type="dxa"/>
              <w:left w:w="85" w:type="dxa"/>
              <w:bottom w:w="85" w:type="dxa"/>
              <w:right w:w="85" w:type="dxa"/>
            </w:tcMar>
            <w:vAlign w:val="center"/>
          </w:tcPr>
          <w:p w14:paraId="79D40E05" w14:textId="77777777" w:rsidR="0024547B" w:rsidRDefault="00000000">
            <w:pPr>
              <w:spacing w:after="20" w:line="247" w:lineRule="auto"/>
              <w:jc w:val="center"/>
            </w:pPr>
            <w:r>
              <w:rPr>
                <w:b/>
                <w:color w:val="FFFFFF"/>
                <w:sz w:val="19"/>
              </w:rPr>
              <w:t>ID</w:t>
            </w:r>
          </w:p>
        </w:tc>
        <w:tc>
          <w:tcPr>
            <w:tcW w:w="4896" w:type="dxa"/>
            <w:tcBorders>
              <w:top w:val="single" w:sz="4" w:space="0" w:color="D9D9D9"/>
              <w:left w:val="single" w:sz="4" w:space="0" w:color="D9D9D9"/>
              <w:bottom w:val="single" w:sz="4" w:space="0" w:color="D9D9D9"/>
              <w:right w:val="single" w:sz="4" w:space="0" w:color="D9D9D9"/>
            </w:tcBorders>
            <w:shd w:val="clear" w:color="auto" w:fill="25394D"/>
            <w:tcMar>
              <w:top w:w="85" w:type="dxa"/>
              <w:left w:w="85" w:type="dxa"/>
              <w:bottom w:w="85" w:type="dxa"/>
              <w:right w:w="85" w:type="dxa"/>
            </w:tcMar>
            <w:vAlign w:val="center"/>
          </w:tcPr>
          <w:p w14:paraId="572AC1A3" w14:textId="77777777" w:rsidR="0024547B" w:rsidRDefault="00000000">
            <w:pPr>
              <w:spacing w:after="20" w:line="247" w:lineRule="auto"/>
            </w:pPr>
            <w:r>
              <w:rPr>
                <w:b/>
                <w:color w:val="FFFFFF"/>
                <w:sz w:val="19"/>
              </w:rPr>
              <w:t>Requirement</w:t>
            </w:r>
          </w:p>
        </w:tc>
        <w:tc>
          <w:tcPr>
            <w:tcW w:w="4392" w:type="dxa"/>
            <w:tcBorders>
              <w:top w:val="single" w:sz="4" w:space="0" w:color="D9D9D9"/>
              <w:left w:val="single" w:sz="4" w:space="0" w:color="D9D9D9"/>
              <w:bottom w:val="single" w:sz="4" w:space="0" w:color="D9D9D9"/>
              <w:right w:val="single" w:sz="4" w:space="0" w:color="D9D9D9"/>
            </w:tcBorders>
            <w:shd w:val="clear" w:color="auto" w:fill="25394D"/>
            <w:tcMar>
              <w:top w:w="85" w:type="dxa"/>
              <w:left w:w="85" w:type="dxa"/>
              <w:bottom w:w="85" w:type="dxa"/>
              <w:right w:w="85" w:type="dxa"/>
            </w:tcMar>
            <w:vAlign w:val="center"/>
          </w:tcPr>
          <w:p w14:paraId="1E5372BE" w14:textId="77777777" w:rsidR="0024547B" w:rsidRDefault="00000000">
            <w:pPr>
              <w:spacing w:after="20" w:line="247" w:lineRule="auto"/>
            </w:pPr>
            <w:r>
              <w:rPr>
                <w:b/>
                <w:color w:val="FFFFFF"/>
                <w:sz w:val="19"/>
              </w:rPr>
              <w:t>Acceptance Criteria</w:t>
            </w:r>
          </w:p>
        </w:tc>
      </w:tr>
      <w:tr w:rsidR="0024547B" w14:paraId="2F4B8FED"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10878470" w14:textId="77777777" w:rsidR="0024547B" w:rsidRDefault="00000000">
            <w:pPr>
              <w:spacing w:after="20" w:line="247" w:lineRule="auto"/>
              <w:jc w:val="center"/>
            </w:pPr>
            <w:r>
              <w:rPr>
                <w:sz w:val="19"/>
              </w:rPr>
              <w:t>FR-009</w:t>
            </w:r>
          </w:p>
        </w:tc>
        <w:tc>
          <w:tcPr>
            <w:tcW w:w="489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39F0879E" w14:textId="77777777" w:rsidR="0024547B" w:rsidRDefault="00000000">
            <w:pPr>
              <w:spacing w:after="20" w:line="247" w:lineRule="auto"/>
            </w:pPr>
            <w:r>
              <w:rPr>
                <w:sz w:val="19"/>
              </w:rPr>
              <w:t>The user shall be able to acknowledge an active alarm. Acknowledgment shall change its status without clearing the underlying condition.</w:t>
            </w:r>
          </w:p>
        </w:tc>
        <w:tc>
          <w:tcPr>
            <w:tcW w:w="439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5B8F9B74" w14:textId="77777777" w:rsidR="0024547B" w:rsidRDefault="00000000">
            <w:pPr>
              <w:spacing w:after="20" w:line="247" w:lineRule="auto"/>
            </w:pPr>
            <w:r>
              <w:rPr>
                <w:sz w:val="19"/>
              </w:rPr>
              <w:t>After acknowledgment, the alarm remains visible as active and acknowledged until its clearance criteria are met.</w:t>
            </w:r>
          </w:p>
        </w:tc>
      </w:tr>
      <w:tr w:rsidR="0024547B" w14:paraId="3C43546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DD4853" w14:textId="77777777" w:rsidR="0024547B" w:rsidRDefault="00000000">
            <w:pPr>
              <w:spacing w:after="20" w:line="247" w:lineRule="auto"/>
              <w:jc w:val="center"/>
            </w:pPr>
            <w:r>
              <w:rPr>
                <w:sz w:val="19"/>
              </w:rPr>
              <w:t>FR-010</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2C47BB" w14:textId="77777777" w:rsidR="0024547B" w:rsidRDefault="00000000">
            <w:pPr>
              <w:spacing w:after="20" w:line="247" w:lineRule="auto"/>
            </w:pPr>
            <w:r>
              <w:rPr>
                <w:sz w:val="19"/>
              </w:rPr>
              <w:t>A newly activated alarm following clearance shall require a new acknowledgment.</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C8B7E2" w14:textId="77777777" w:rsidR="0024547B" w:rsidRDefault="00000000">
            <w:pPr>
              <w:spacing w:after="20" w:line="247" w:lineRule="auto"/>
            </w:pPr>
            <w:r>
              <w:rPr>
                <w:sz w:val="19"/>
              </w:rPr>
              <w:t>A previous acknowledgment does not carry over to a later alarm episode.</w:t>
            </w:r>
          </w:p>
        </w:tc>
      </w:tr>
      <w:tr w:rsidR="0024547B" w14:paraId="64C64A8A"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7E0AFF8F" w14:textId="77777777" w:rsidR="0024547B" w:rsidRDefault="00000000">
            <w:pPr>
              <w:spacing w:after="20" w:line="247" w:lineRule="auto"/>
              <w:jc w:val="center"/>
            </w:pPr>
            <w:r>
              <w:rPr>
                <w:sz w:val="19"/>
              </w:rPr>
              <w:t>FR-011</w:t>
            </w:r>
          </w:p>
        </w:tc>
        <w:tc>
          <w:tcPr>
            <w:tcW w:w="489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06FB1DF8" w14:textId="77777777" w:rsidR="0024547B" w:rsidRDefault="00000000">
            <w:pPr>
              <w:spacing w:after="20" w:line="247" w:lineRule="auto"/>
            </w:pPr>
            <w:r>
              <w:rPr>
                <w:sz w:val="19"/>
              </w:rPr>
              <w:t>A measurement shall be marked stale when more than five seconds have elapsed since receipt of its last valid reading.</w:t>
            </w:r>
          </w:p>
        </w:tc>
        <w:tc>
          <w:tcPr>
            <w:tcW w:w="439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6AB960DF" w14:textId="77777777" w:rsidR="0024547B" w:rsidRDefault="00000000">
            <w:pPr>
              <w:spacing w:after="20" w:line="247" w:lineRule="auto"/>
            </w:pPr>
            <w:r>
              <w:rPr>
                <w:sz w:val="19"/>
              </w:rPr>
              <w:t>At exactly five seconds it remains current; after five seconds it is stale. Before the first valid reading, it displays “No data.”</w:t>
            </w:r>
          </w:p>
        </w:tc>
      </w:tr>
      <w:tr w:rsidR="0024547B" w14:paraId="1D334548"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266FD1" w14:textId="77777777" w:rsidR="0024547B" w:rsidRDefault="00000000">
            <w:pPr>
              <w:spacing w:after="20" w:line="247" w:lineRule="auto"/>
              <w:jc w:val="center"/>
            </w:pPr>
            <w:r>
              <w:rPr>
                <w:sz w:val="19"/>
              </w:rPr>
              <w:t>FR-012</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9C7D0B" w14:textId="77777777" w:rsidR="0024547B" w:rsidRDefault="00000000">
            <w:pPr>
              <w:spacing w:after="20" w:line="247" w:lineRule="auto"/>
            </w:pPr>
            <w:r>
              <w:rPr>
                <w:sz w:val="19"/>
              </w:rPr>
              <w:t>The frontend shall identify a simulated sensor disconnect and shall preserve the last valid readings with stale indicators when applicable.</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75D9DA" w14:textId="77777777" w:rsidR="0024547B" w:rsidRDefault="00000000">
            <w:pPr>
              <w:spacing w:after="20" w:line="247" w:lineRule="auto"/>
            </w:pPr>
            <w:r>
              <w:rPr>
                <w:sz w:val="19"/>
              </w:rPr>
              <w:t>Disconnecting the sensor displays its disconnected state; measurements become stale according to FR-011.</w:t>
            </w:r>
          </w:p>
        </w:tc>
      </w:tr>
      <w:tr w:rsidR="0024547B" w14:paraId="121165D6"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52F5A0C4" w14:textId="77777777" w:rsidR="0024547B" w:rsidRDefault="00000000">
            <w:pPr>
              <w:spacing w:after="20" w:line="247" w:lineRule="auto"/>
              <w:jc w:val="center"/>
            </w:pPr>
            <w:r>
              <w:rPr>
                <w:sz w:val="19"/>
              </w:rPr>
              <w:t>FR-013</w:t>
            </w:r>
          </w:p>
        </w:tc>
        <w:tc>
          <w:tcPr>
            <w:tcW w:w="489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34254F3A" w14:textId="77777777" w:rsidR="0024547B" w:rsidRDefault="00000000">
            <w:pPr>
              <w:spacing w:after="20" w:line="247" w:lineRule="auto"/>
            </w:pPr>
            <w:r>
              <w:rPr>
                <w:sz w:val="19"/>
              </w:rPr>
              <w:t>The application shall record session start/stop, alarm activation, acknowledgment, clearance, invalid input, and sensor disconnect/reconnect events.</w:t>
            </w:r>
          </w:p>
        </w:tc>
        <w:tc>
          <w:tcPr>
            <w:tcW w:w="439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165D3D9D" w14:textId="77777777" w:rsidR="0024547B" w:rsidRDefault="00000000">
            <w:pPr>
              <w:spacing w:after="20" w:line="247" w:lineRule="auto"/>
            </w:pPr>
            <w:r>
              <w:rPr>
                <w:sz w:val="19"/>
              </w:rPr>
              <w:t>Each event contains a session identifier, event type, UTC timestamp, and relevant details.</w:t>
            </w:r>
          </w:p>
        </w:tc>
      </w:tr>
      <w:tr w:rsidR="0024547B" w14:paraId="26EA5616"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7C8641" w14:textId="77777777" w:rsidR="0024547B" w:rsidRDefault="00000000">
            <w:pPr>
              <w:spacing w:after="20" w:line="247" w:lineRule="auto"/>
              <w:jc w:val="center"/>
            </w:pPr>
            <w:r>
              <w:rPr>
                <w:sz w:val="19"/>
              </w:rPr>
              <w:t>FR-014</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373858" w14:textId="77777777" w:rsidR="0024547B" w:rsidRDefault="00000000">
            <w:pPr>
              <w:spacing w:after="20" w:line="247" w:lineRule="auto"/>
            </w:pPr>
            <w:r>
              <w:rPr>
                <w:sz w:val="19"/>
              </w:rPr>
              <w:t>The frontend shall display session events in chronological order.</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793B72" w14:textId="77777777" w:rsidR="0024547B" w:rsidRDefault="00000000">
            <w:pPr>
              <w:spacing w:after="20" w:line="247" w:lineRule="auto"/>
            </w:pPr>
            <w:r>
              <w:rPr>
                <w:sz w:val="19"/>
              </w:rPr>
              <w:t>A known event sequence appears in the expected order, including events with identical timestamps.</w:t>
            </w:r>
          </w:p>
        </w:tc>
      </w:tr>
      <w:tr w:rsidR="0024547B" w14:paraId="5FBBB58B"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06F56363" w14:textId="77777777" w:rsidR="0024547B" w:rsidRDefault="00000000">
            <w:pPr>
              <w:spacing w:after="20" w:line="247" w:lineRule="auto"/>
              <w:jc w:val="center"/>
            </w:pPr>
            <w:r>
              <w:rPr>
                <w:sz w:val="19"/>
              </w:rPr>
              <w:t>FR-015</w:t>
            </w:r>
          </w:p>
        </w:tc>
        <w:tc>
          <w:tcPr>
            <w:tcW w:w="489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0EF274D4" w14:textId="77777777" w:rsidR="0024547B" w:rsidRDefault="00000000">
            <w:pPr>
              <w:spacing w:after="20" w:line="247" w:lineRule="auto"/>
            </w:pPr>
            <w:r>
              <w:rPr>
                <w:sz w:val="19"/>
              </w:rPr>
              <w:t>The application shall reject readings whose measurement timestamp is equal to or earlier than the last accepted timestamp for that measurement.</w:t>
            </w:r>
          </w:p>
        </w:tc>
        <w:tc>
          <w:tcPr>
            <w:tcW w:w="439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0678B4C6" w14:textId="77777777" w:rsidR="0024547B" w:rsidRDefault="00000000">
            <w:pPr>
              <w:spacing w:after="20" w:line="247" w:lineRule="auto"/>
            </w:pPr>
            <w:r>
              <w:rPr>
                <w:sz w:val="19"/>
              </w:rPr>
              <w:t>Duplicate and older readings do not update displayed values or alarm counters and produce rejection events.</w:t>
            </w:r>
          </w:p>
        </w:tc>
      </w:tr>
      <w:tr w:rsidR="0024547B" w14:paraId="6B020B56"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307661" w14:textId="77777777" w:rsidR="0024547B" w:rsidRDefault="00000000">
            <w:pPr>
              <w:spacing w:after="20" w:line="247" w:lineRule="auto"/>
              <w:jc w:val="center"/>
            </w:pPr>
            <w:r>
              <w:rPr>
                <w:sz w:val="19"/>
              </w:rPr>
              <w:t>FR-016</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3A3BC2" w14:textId="77777777" w:rsidR="0024547B" w:rsidRDefault="00000000">
            <w:pPr>
              <w:spacing w:after="20" w:line="247" w:lineRule="auto"/>
            </w:pPr>
            <w:r>
              <w:rPr>
                <w:sz w:val="19"/>
              </w:rPr>
              <w:t>Starting a new session shall reset displayed readings, alarm states, and pending counters while retaining prior session records.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13571E" w14:textId="77777777" w:rsidR="0024547B" w:rsidRDefault="00000000">
            <w:pPr>
              <w:spacing w:after="20" w:line="247" w:lineRule="auto"/>
            </w:pPr>
            <w:r>
              <w:rPr>
                <w:sz w:val="19"/>
              </w:rPr>
              <w:t>A new session begins with “No data” and no active alarms; previous events remain stored under their original session identifier.</w:t>
            </w:r>
          </w:p>
        </w:tc>
      </w:tr>
    </w:tbl>
    <w:p w14:paraId="4879E2BE" w14:textId="77777777" w:rsidR="0024547B" w:rsidRDefault="00000000">
      <w:r>
        <w:br w:type="page"/>
      </w:r>
    </w:p>
    <w:p w14:paraId="06FC80A6" w14:textId="77777777" w:rsidR="0024547B" w:rsidRDefault="00000000">
      <w:pPr>
        <w:pStyle w:val="Heading1"/>
      </w:pPr>
      <w:r>
        <w:lastRenderedPageBreak/>
        <w:t>4 Safety and Failure Handling Requirements</w:t>
      </w:r>
    </w:p>
    <w:tbl>
      <w:tblPr>
        <w:tblW w:w="0" w:type="auto"/>
        <w:jc w:val="center"/>
        <w:tblLayout w:type="fixed"/>
        <w:tblLook w:val="04A0" w:firstRow="1" w:lastRow="0" w:firstColumn="1" w:lastColumn="0" w:noHBand="0" w:noVBand="1"/>
      </w:tblPr>
      <w:tblGrid>
        <w:gridCol w:w="936"/>
        <w:gridCol w:w="4896"/>
        <w:gridCol w:w="4392"/>
      </w:tblGrid>
      <w:tr w:rsidR="0024547B" w14:paraId="7C343389"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25394D"/>
            <w:tcMar>
              <w:top w:w="85" w:type="dxa"/>
              <w:left w:w="85" w:type="dxa"/>
              <w:bottom w:w="85" w:type="dxa"/>
              <w:right w:w="85" w:type="dxa"/>
            </w:tcMar>
            <w:vAlign w:val="center"/>
          </w:tcPr>
          <w:p w14:paraId="1FE009D1" w14:textId="77777777" w:rsidR="0024547B" w:rsidRDefault="00000000">
            <w:pPr>
              <w:spacing w:after="20" w:line="247" w:lineRule="auto"/>
              <w:jc w:val="center"/>
            </w:pPr>
            <w:r>
              <w:rPr>
                <w:b/>
                <w:color w:val="FFFFFF"/>
                <w:sz w:val="19"/>
              </w:rPr>
              <w:t>ID</w:t>
            </w:r>
          </w:p>
        </w:tc>
        <w:tc>
          <w:tcPr>
            <w:tcW w:w="4896" w:type="dxa"/>
            <w:tcBorders>
              <w:top w:val="single" w:sz="4" w:space="0" w:color="D9D9D9"/>
              <w:left w:val="single" w:sz="4" w:space="0" w:color="D9D9D9"/>
              <w:bottom w:val="single" w:sz="4" w:space="0" w:color="D9D9D9"/>
              <w:right w:val="single" w:sz="4" w:space="0" w:color="D9D9D9"/>
            </w:tcBorders>
            <w:shd w:val="clear" w:color="auto" w:fill="25394D"/>
            <w:tcMar>
              <w:top w:w="85" w:type="dxa"/>
              <w:left w:w="85" w:type="dxa"/>
              <w:bottom w:w="85" w:type="dxa"/>
              <w:right w:w="85" w:type="dxa"/>
            </w:tcMar>
            <w:vAlign w:val="center"/>
          </w:tcPr>
          <w:p w14:paraId="70E56287" w14:textId="77777777" w:rsidR="0024547B" w:rsidRDefault="00000000">
            <w:pPr>
              <w:spacing w:after="20" w:line="247" w:lineRule="auto"/>
            </w:pPr>
            <w:r>
              <w:rPr>
                <w:b/>
                <w:color w:val="FFFFFF"/>
                <w:sz w:val="19"/>
              </w:rPr>
              <w:t>Requirement</w:t>
            </w:r>
          </w:p>
        </w:tc>
        <w:tc>
          <w:tcPr>
            <w:tcW w:w="4392" w:type="dxa"/>
            <w:tcBorders>
              <w:top w:val="single" w:sz="4" w:space="0" w:color="D9D9D9"/>
              <w:left w:val="single" w:sz="4" w:space="0" w:color="D9D9D9"/>
              <w:bottom w:val="single" w:sz="4" w:space="0" w:color="D9D9D9"/>
              <w:right w:val="single" w:sz="4" w:space="0" w:color="D9D9D9"/>
            </w:tcBorders>
            <w:shd w:val="clear" w:color="auto" w:fill="25394D"/>
            <w:tcMar>
              <w:top w:w="85" w:type="dxa"/>
              <w:left w:w="85" w:type="dxa"/>
              <w:bottom w:w="85" w:type="dxa"/>
              <w:right w:w="85" w:type="dxa"/>
            </w:tcMar>
            <w:vAlign w:val="center"/>
          </w:tcPr>
          <w:p w14:paraId="2B01B973" w14:textId="77777777" w:rsidR="0024547B" w:rsidRDefault="00000000">
            <w:pPr>
              <w:spacing w:after="20" w:line="247" w:lineRule="auto"/>
            </w:pPr>
            <w:r>
              <w:rPr>
                <w:b/>
                <w:color w:val="FFFFFF"/>
                <w:sz w:val="19"/>
              </w:rPr>
              <w:t>Acceptance Criteria</w:t>
            </w:r>
          </w:p>
        </w:tc>
      </w:tr>
      <w:tr w:rsidR="0024547B" w14:paraId="66D761B0"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79AA08E6" w14:textId="77777777" w:rsidR="0024547B" w:rsidRDefault="00000000">
            <w:pPr>
              <w:spacing w:after="20" w:line="247" w:lineRule="auto"/>
              <w:jc w:val="center"/>
            </w:pPr>
            <w:r>
              <w:rPr>
                <w:sz w:val="19"/>
              </w:rPr>
              <w:t>SF-001</w:t>
            </w:r>
          </w:p>
        </w:tc>
        <w:tc>
          <w:tcPr>
            <w:tcW w:w="489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0B2462C2" w14:textId="77777777" w:rsidR="0024547B" w:rsidRDefault="00000000">
            <w:pPr>
              <w:spacing w:after="20" w:line="247" w:lineRule="auto"/>
            </w:pPr>
            <w:r>
              <w:rPr>
                <w:sz w:val="19"/>
              </w:rPr>
              <w:t>Every monitoring screen shall display “Simulation only — not for clinical use.”</w:t>
            </w:r>
          </w:p>
        </w:tc>
        <w:tc>
          <w:tcPr>
            <w:tcW w:w="439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0DED620E" w14:textId="77777777" w:rsidR="0024547B" w:rsidRDefault="00000000">
            <w:pPr>
              <w:spacing w:after="20" w:line="247" w:lineRule="auto"/>
            </w:pPr>
            <w:r>
              <w:rPr>
                <w:sz w:val="19"/>
              </w:rPr>
              <w:t>Automated browser tests verify the notice is visible.</w:t>
            </w:r>
          </w:p>
        </w:tc>
      </w:tr>
      <w:tr w:rsidR="0024547B" w14:paraId="2B9C4B5A"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CB9C63" w14:textId="77777777" w:rsidR="0024547B" w:rsidRDefault="00000000">
            <w:pPr>
              <w:spacing w:after="20" w:line="247" w:lineRule="auto"/>
              <w:jc w:val="center"/>
            </w:pPr>
            <w:r>
              <w:rPr>
                <w:sz w:val="19"/>
              </w:rPr>
              <w:t>SF-002</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3B810A" w14:textId="77777777" w:rsidR="0024547B" w:rsidRDefault="00000000">
            <w:pPr>
              <w:spacing w:after="20" w:line="247" w:lineRule="auto"/>
            </w:pPr>
            <w:r>
              <w:rPr>
                <w:sz w:val="19"/>
              </w:rPr>
              <w:t>Alarm and sensor states shall be communicated through text as well as color.</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D25F3C" w14:textId="77777777" w:rsidR="0024547B" w:rsidRDefault="00000000">
            <w:pPr>
              <w:spacing w:after="20" w:line="247" w:lineRule="auto"/>
            </w:pPr>
            <w:r>
              <w:rPr>
                <w:sz w:val="19"/>
              </w:rPr>
              <w:t>Each state has a readable label; no state depends solely on color.</w:t>
            </w:r>
          </w:p>
        </w:tc>
      </w:tr>
      <w:tr w:rsidR="0024547B" w14:paraId="4926437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26038B45" w14:textId="77777777" w:rsidR="0024547B" w:rsidRDefault="00000000">
            <w:pPr>
              <w:spacing w:after="20" w:line="247" w:lineRule="auto"/>
              <w:jc w:val="center"/>
            </w:pPr>
            <w:r>
              <w:rPr>
                <w:sz w:val="19"/>
              </w:rPr>
              <w:t>SF-003</w:t>
            </w:r>
          </w:p>
        </w:tc>
        <w:tc>
          <w:tcPr>
            <w:tcW w:w="489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7102AC28" w14:textId="77777777" w:rsidR="0024547B" w:rsidRDefault="00000000">
            <w:pPr>
              <w:spacing w:after="20" w:line="247" w:lineRule="auto"/>
            </w:pPr>
            <w:r>
              <w:rPr>
                <w:sz w:val="19"/>
              </w:rPr>
              <w:t>Missing, invalid, or stale data shall not be presented as a normal current measurement.</w:t>
            </w:r>
          </w:p>
        </w:tc>
        <w:tc>
          <w:tcPr>
            <w:tcW w:w="439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0E936F6C" w14:textId="77777777" w:rsidR="0024547B" w:rsidRDefault="00000000">
            <w:pPr>
              <w:spacing w:after="20" w:line="247" w:lineRule="auto"/>
            </w:pPr>
            <w:r>
              <w:rPr>
                <w:sz w:val="19"/>
              </w:rPr>
              <w:t>Fault scenarios display the corresponding status alongside any retained value.</w:t>
            </w:r>
          </w:p>
        </w:tc>
      </w:tr>
      <w:tr w:rsidR="0024547B" w14:paraId="1D7D2E2E"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F840FE" w14:textId="77777777" w:rsidR="0024547B" w:rsidRDefault="00000000">
            <w:pPr>
              <w:spacing w:after="20" w:line="247" w:lineRule="auto"/>
              <w:jc w:val="center"/>
            </w:pPr>
            <w:r>
              <w:rPr>
                <w:sz w:val="19"/>
              </w:rPr>
              <w:t>SF-004</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E232A7" w14:textId="77777777" w:rsidR="0024547B" w:rsidRDefault="00000000">
            <w:pPr>
              <w:spacing w:after="20" w:line="247" w:lineRule="auto"/>
            </w:pPr>
            <w:r>
              <w:rPr>
                <w:sz w:val="19"/>
              </w:rPr>
              <w:t>Sensor disconnection shall not clear an existing physiological alarm.</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BE1D77" w14:textId="77777777" w:rsidR="0024547B" w:rsidRDefault="00000000">
            <w:pPr>
              <w:spacing w:after="20" w:line="247" w:lineRule="auto"/>
            </w:pPr>
            <w:r>
              <w:rPr>
                <w:sz w:val="19"/>
              </w:rPr>
              <w:t>An active low-oxygen alarm remains active during disconnection.</w:t>
            </w:r>
          </w:p>
        </w:tc>
      </w:tr>
      <w:tr w:rsidR="0024547B" w14:paraId="656F46A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66616D48" w14:textId="77777777" w:rsidR="0024547B" w:rsidRDefault="00000000">
            <w:pPr>
              <w:spacing w:after="20" w:line="247" w:lineRule="auto"/>
              <w:jc w:val="center"/>
            </w:pPr>
            <w:r>
              <w:rPr>
                <w:sz w:val="19"/>
              </w:rPr>
              <w:t>SF-005</w:t>
            </w:r>
          </w:p>
        </w:tc>
        <w:tc>
          <w:tcPr>
            <w:tcW w:w="489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42AA4370" w14:textId="77777777" w:rsidR="0024547B" w:rsidRDefault="00000000">
            <w:pPr>
              <w:spacing w:after="20" w:line="247" w:lineRule="auto"/>
            </w:pPr>
            <w:r>
              <w:rPr>
                <w:sz w:val="19"/>
              </w:rPr>
              <w:t>If event storage fails, the application shall display an event-recording failure indicator and continue evaluating incoming readings.</w:t>
            </w:r>
          </w:p>
        </w:tc>
        <w:tc>
          <w:tcPr>
            <w:tcW w:w="439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18EA0930" w14:textId="77777777" w:rsidR="0024547B" w:rsidRDefault="00000000">
            <w:pPr>
              <w:spacing w:after="20" w:line="247" w:lineRule="auto"/>
            </w:pPr>
            <w:r>
              <w:rPr>
                <w:sz w:val="19"/>
              </w:rPr>
              <w:t>An injected storage failure produces a visible indicator while alarm evaluation continues. The indicator remains until a successful subsequent write.</w:t>
            </w:r>
          </w:p>
        </w:tc>
      </w:tr>
      <w:tr w:rsidR="0024547B" w14:paraId="3D789A4D"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F79604" w14:textId="77777777" w:rsidR="0024547B" w:rsidRDefault="00000000">
            <w:pPr>
              <w:spacing w:after="20" w:line="247" w:lineRule="auto"/>
              <w:jc w:val="center"/>
            </w:pPr>
            <w:r>
              <w:rPr>
                <w:sz w:val="19"/>
              </w:rPr>
              <w:t>SF-006</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430D9D" w14:textId="77777777" w:rsidR="0024547B" w:rsidRDefault="00000000">
            <w:pPr>
              <w:spacing w:after="20" w:line="247" w:lineRule="auto"/>
            </w:pPr>
            <w:r>
              <w:rPr>
                <w:sz w:val="19"/>
              </w:rPr>
              <w:t>Automated tests shall verify each identified software risk control.</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6E2B1C" w14:textId="77777777" w:rsidR="0024547B" w:rsidRDefault="00000000">
            <w:pPr>
              <w:spacing w:after="20" w:line="247" w:lineRule="auto"/>
            </w:pPr>
            <w:r>
              <w:rPr>
                <w:sz w:val="19"/>
              </w:rPr>
              <w:t>Every risk-control entry links to at least one passing test.</w:t>
            </w:r>
          </w:p>
        </w:tc>
      </w:tr>
    </w:tbl>
    <w:p w14:paraId="56C4609A" w14:textId="77777777" w:rsidR="0024547B" w:rsidRDefault="00000000">
      <w:r>
        <w:br w:type="page"/>
      </w:r>
    </w:p>
    <w:p w14:paraId="46BACB9D" w14:textId="77777777" w:rsidR="0024547B" w:rsidRDefault="00000000">
      <w:pPr>
        <w:pStyle w:val="Heading1"/>
      </w:pPr>
      <w:r>
        <w:lastRenderedPageBreak/>
        <w:t>5 Architecture and Code Quality Requirements</w:t>
      </w:r>
    </w:p>
    <w:tbl>
      <w:tblPr>
        <w:tblW w:w="0" w:type="auto"/>
        <w:jc w:val="center"/>
        <w:tblLayout w:type="fixed"/>
        <w:tblLook w:val="04A0" w:firstRow="1" w:lastRow="0" w:firstColumn="1" w:lastColumn="0" w:noHBand="0" w:noVBand="1"/>
      </w:tblPr>
      <w:tblGrid>
        <w:gridCol w:w="1080"/>
        <w:gridCol w:w="9144"/>
      </w:tblGrid>
      <w:tr w:rsidR="0024547B" w14:paraId="519E32A5" w14:textId="77777777">
        <w:trPr>
          <w:cantSplit/>
          <w:tblHeader/>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25394D"/>
            <w:tcMar>
              <w:top w:w="85" w:type="dxa"/>
              <w:left w:w="85" w:type="dxa"/>
              <w:bottom w:w="85" w:type="dxa"/>
              <w:right w:w="85" w:type="dxa"/>
            </w:tcMar>
            <w:vAlign w:val="center"/>
          </w:tcPr>
          <w:p w14:paraId="07220D72" w14:textId="77777777" w:rsidR="0024547B" w:rsidRDefault="00000000">
            <w:pPr>
              <w:spacing w:after="20" w:line="247" w:lineRule="auto"/>
              <w:jc w:val="center"/>
            </w:pPr>
            <w:r>
              <w:rPr>
                <w:b/>
                <w:color w:val="FFFFFF"/>
                <w:sz w:val="19"/>
              </w:rPr>
              <w:t>ID</w:t>
            </w:r>
          </w:p>
        </w:tc>
        <w:tc>
          <w:tcPr>
            <w:tcW w:w="9144" w:type="dxa"/>
            <w:tcBorders>
              <w:top w:val="single" w:sz="4" w:space="0" w:color="D9D9D9"/>
              <w:left w:val="single" w:sz="4" w:space="0" w:color="D9D9D9"/>
              <w:bottom w:val="single" w:sz="4" w:space="0" w:color="D9D9D9"/>
              <w:right w:val="single" w:sz="4" w:space="0" w:color="D9D9D9"/>
            </w:tcBorders>
            <w:shd w:val="clear" w:color="auto" w:fill="25394D"/>
            <w:tcMar>
              <w:top w:w="85" w:type="dxa"/>
              <w:left w:w="85" w:type="dxa"/>
              <w:bottom w:w="85" w:type="dxa"/>
              <w:right w:w="85" w:type="dxa"/>
            </w:tcMar>
            <w:vAlign w:val="center"/>
          </w:tcPr>
          <w:p w14:paraId="406A85DC" w14:textId="77777777" w:rsidR="0024547B" w:rsidRDefault="00000000">
            <w:pPr>
              <w:spacing w:after="20" w:line="247" w:lineRule="auto"/>
            </w:pPr>
            <w:r>
              <w:rPr>
                <w:b/>
                <w:color w:val="FFFFFF"/>
                <w:sz w:val="19"/>
              </w:rPr>
              <w:t>Requirement</w:t>
            </w:r>
          </w:p>
        </w:tc>
      </w:tr>
      <w:tr w:rsidR="0024547B" w14:paraId="7F57AC64"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3D09C918" w14:textId="77777777" w:rsidR="0024547B" w:rsidRDefault="00000000">
            <w:pPr>
              <w:spacing w:after="20" w:line="247" w:lineRule="auto"/>
              <w:jc w:val="center"/>
            </w:pPr>
            <w:r>
              <w:rPr>
                <w:sz w:val="19"/>
              </w:rPr>
              <w:t>AR-001</w:t>
            </w:r>
          </w:p>
        </w:tc>
        <w:tc>
          <w:tcPr>
            <w:tcW w:w="9144"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3B747FCD" w14:textId="77777777" w:rsidR="0024547B" w:rsidRDefault="00000000">
            <w:pPr>
              <w:spacing w:after="20" w:line="247" w:lineRule="auto"/>
            </w:pPr>
            <w:r>
              <w:rPr>
                <w:sz w:val="19"/>
              </w:rPr>
              <w:t>The monitoring rules and alarm state transitions shall be implemented in Python independently of the frontend, network interface, and storage implementation.</w:t>
            </w:r>
          </w:p>
        </w:tc>
      </w:tr>
      <w:tr w:rsidR="0024547B" w14:paraId="0103DDE9"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7D7F1F" w14:textId="77777777" w:rsidR="0024547B" w:rsidRDefault="00000000">
            <w:pPr>
              <w:spacing w:after="20" w:line="247" w:lineRule="auto"/>
              <w:jc w:val="center"/>
            </w:pPr>
            <w:r>
              <w:rPr>
                <w:sz w:val="19"/>
              </w:rPr>
              <w:t>AR-002</w:t>
            </w:r>
          </w:p>
        </w:tc>
        <w:tc>
          <w:tcPr>
            <w:tcW w:w="91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82BFC6" w14:textId="77777777" w:rsidR="0024547B" w:rsidRDefault="00000000">
            <w:pPr>
              <w:spacing w:after="20" w:line="247" w:lineRule="auto"/>
            </w:pPr>
            <w:r>
              <w:rPr>
                <w:sz w:val="19"/>
              </w:rPr>
              <w:t>Sensor input, time, and event storage shall be replaceable with controlled test implementations.</w:t>
            </w:r>
          </w:p>
        </w:tc>
      </w:tr>
      <w:tr w:rsidR="0024547B" w14:paraId="21404D8D"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0C64D1FE" w14:textId="77777777" w:rsidR="0024547B" w:rsidRDefault="00000000">
            <w:pPr>
              <w:spacing w:after="20" w:line="247" w:lineRule="auto"/>
              <w:jc w:val="center"/>
            </w:pPr>
            <w:r>
              <w:rPr>
                <w:sz w:val="19"/>
              </w:rPr>
              <w:t>AR-003</w:t>
            </w:r>
          </w:p>
        </w:tc>
        <w:tc>
          <w:tcPr>
            <w:tcW w:w="9144"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12D8C668" w14:textId="77777777" w:rsidR="0024547B" w:rsidRDefault="00000000">
            <w:pPr>
              <w:spacing w:after="20" w:line="247" w:lineRule="auto"/>
            </w:pPr>
            <w:r>
              <w:rPr>
                <w:sz w:val="19"/>
              </w:rPr>
              <w:t>The frontend shall display application state; authoritative alarm decisions shall reside in the Python application.</w:t>
            </w:r>
          </w:p>
        </w:tc>
      </w:tr>
      <w:tr w:rsidR="0024547B" w14:paraId="602F143F"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EBDA2D" w14:textId="77777777" w:rsidR="0024547B" w:rsidRDefault="00000000">
            <w:pPr>
              <w:spacing w:after="20" w:line="247" w:lineRule="auto"/>
              <w:jc w:val="center"/>
            </w:pPr>
            <w:r>
              <w:rPr>
                <w:sz w:val="19"/>
              </w:rPr>
              <w:t>AR-004</w:t>
            </w:r>
          </w:p>
        </w:tc>
        <w:tc>
          <w:tcPr>
            <w:tcW w:w="91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1DB82C" w14:textId="77777777" w:rsidR="0024547B" w:rsidRDefault="00000000">
            <w:pPr>
              <w:spacing w:after="20" w:line="247" w:lineRule="auto"/>
            </w:pPr>
            <w:r>
              <w:rPr>
                <w:sz w:val="19"/>
              </w:rPr>
              <w:t>The codebase shall pass its configured lint and formatting checks before a change is accepted.</w:t>
            </w:r>
          </w:p>
        </w:tc>
      </w:tr>
      <w:tr w:rsidR="0024547B" w14:paraId="2F8B83BF"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0928B1CC" w14:textId="77777777" w:rsidR="0024547B" w:rsidRDefault="00000000">
            <w:pPr>
              <w:spacing w:after="20" w:line="247" w:lineRule="auto"/>
              <w:jc w:val="center"/>
            </w:pPr>
            <w:r>
              <w:rPr>
                <w:sz w:val="19"/>
              </w:rPr>
              <w:t>AR-005</w:t>
            </w:r>
          </w:p>
        </w:tc>
        <w:tc>
          <w:tcPr>
            <w:tcW w:w="9144"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79398AB7" w14:textId="77777777" w:rsidR="0024547B" w:rsidRDefault="00000000">
            <w:pPr>
              <w:spacing w:after="20" w:line="247" w:lineRule="auto"/>
            </w:pPr>
            <w:r>
              <w:rPr>
                <w:sz w:val="19"/>
              </w:rPr>
              <w:t>Code review shall assess duplicated logic, excessive complexity, hidden mutable state, unclear naming, and overly broad exception handling.</w:t>
            </w:r>
          </w:p>
        </w:tc>
      </w:tr>
      <w:tr w:rsidR="0024547B" w14:paraId="265D694F"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49F435" w14:textId="77777777" w:rsidR="0024547B" w:rsidRDefault="00000000">
            <w:pPr>
              <w:spacing w:after="20" w:line="247" w:lineRule="auto"/>
              <w:jc w:val="center"/>
            </w:pPr>
            <w:r>
              <w:rPr>
                <w:sz w:val="19"/>
              </w:rPr>
              <w:t>AR-006</w:t>
            </w:r>
          </w:p>
        </w:tc>
        <w:tc>
          <w:tcPr>
            <w:tcW w:w="91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2A431D" w14:textId="77777777" w:rsidR="0024547B" w:rsidRDefault="00000000">
            <w:pPr>
              <w:spacing w:after="20" w:line="247" w:lineRule="auto"/>
            </w:pPr>
            <w:r>
              <w:rPr>
                <w:sz w:val="19"/>
              </w:rPr>
              <w:t>Dependencies and their resolved versions shall be recorded to support reproducible installation and testing.</w:t>
            </w:r>
          </w:p>
        </w:tc>
      </w:tr>
    </w:tbl>
    <w:p w14:paraId="689DB0E5" w14:textId="77777777" w:rsidR="0024547B" w:rsidRDefault="00000000">
      <w:pPr>
        <w:pStyle w:val="Heading2"/>
      </w:pPr>
      <w:r>
        <w:t>Suggested Implementation Structure</w:t>
      </w:r>
    </w:p>
    <w:p w14:paraId="0498400D" w14:textId="77777777" w:rsidR="0024547B" w:rsidRDefault="00000000">
      <w:r>
        <w:t>Synthetic sensor input feeds a Python application containing measurement validation and alarm state logic. The application exposes state to the browser dashboard and writes monitoring events to storage. Replaceable sensor, clock, and storage interfaces allow deterministic tests.</w:t>
      </w:r>
    </w:p>
    <w:p w14:paraId="5FDDD3B1" w14:textId="77777777" w:rsidR="0024547B" w:rsidRDefault="00000000">
      <w:r>
        <w:t>Suggested tools: pytest for Python tests, Ruff for linting and formatting, coverage.py or pytest-cov for coverage reporting, and Playwright for browser workflow tests. These are implementation suggestions rather than additional requirements.</w:t>
      </w:r>
    </w:p>
    <w:p w14:paraId="5C0F0424" w14:textId="77777777" w:rsidR="0024547B" w:rsidRDefault="00000000">
      <w:r>
        <w:br w:type="page"/>
      </w:r>
    </w:p>
    <w:p w14:paraId="471EC6EC" w14:textId="77777777" w:rsidR="0024547B" w:rsidRDefault="00000000">
      <w:pPr>
        <w:pStyle w:val="Heading1"/>
      </w:pPr>
      <w:r>
        <w:lastRenderedPageBreak/>
        <w:t>6 Testing and Automation Requirements</w:t>
      </w:r>
    </w:p>
    <w:tbl>
      <w:tblPr>
        <w:tblW w:w="0" w:type="auto"/>
        <w:jc w:val="center"/>
        <w:tblLayout w:type="fixed"/>
        <w:tblLook w:val="04A0" w:firstRow="1" w:lastRow="0" w:firstColumn="1" w:lastColumn="0" w:noHBand="0" w:noVBand="1"/>
      </w:tblPr>
      <w:tblGrid>
        <w:gridCol w:w="936"/>
        <w:gridCol w:w="4896"/>
        <w:gridCol w:w="4392"/>
      </w:tblGrid>
      <w:tr w:rsidR="0024547B" w14:paraId="4F01A414"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25394D"/>
            <w:tcMar>
              <w:top w:w="85" w:type="dxa"/>
              <w:left w:w="85" w:type="dxa"/>
              <w:bottom w:w="85" w:type="dxa"/>
              <w:right w:w="85" w:type="dxa"/>
            </w:tcMar>
            <w:vAlign w:val="center"/>
          </w:tcPr>
          <w:p w14:paraId="02C23084" w14:textId="77777777" w:rsidR="0024547B" w:rsidRDefault="00000000">
            <w:pPr>
              <w:spacing w:after="20" w:line="247" w:lineRule="auto"/>
              <w:jc w:val="center"/>
            </w:pPr>
            <w:r>
              <w:rPr>
                <w:b/>
                <w:color w:val="FFFFFF"/>
                <w:sz w:val="19"/>
              </w:rPr>
              <w:t>ID</w:t>
            </w:r>
          </w:p>
        </w:tc>
        <w:tc>
          <w:tcPr>
            <w:tcW w:w="4896" w:type="dxa"/>
            <w:tcBorders>
              <w:top w:val="single" w:sz="4" w:space="0" w:color="D9D9D9"/>
              <w:left w:val="single" w:sz="4" w:space="0" w:color="D9D9D9"/>
              <w:bottom w:val="single" w:sz="4" w:space="0" w:color="D9D9D9"/>
              <w:right w:val="single" w:sz="4" w:space="0" w:color="D9D9D9"/>
            </w:tcBorders>
            <w:shd w:val="clear" w:color="auto" w:fill="25394D"/>
            <w:tcMar>
              <w:top w:w="85" w:type="dxa"/>
              <w:left w:w="85" w:type="dxa"/>
              <w:bottom w:w="85" w:type="dxa"/>
              <w:right w:w="85" w:type="dxa"/>
            </w:tcMar>
            <w:vAlign w:val="center"/>
          </w:tcPr>
          <w:p w14:paraId="6ECBF731" w14:textId="77777777" w:rsidR="0024547B" w:rsidRDefault="00000000">
            <w:pPr>
              <w:spacing w:after="20" w:line="247" w:lineRule="auto"/>
            </w:pPr>
            <w:r>
              <w:rPr>
                <w:b/>
                <w:color w:val="FFFFFF"/>
                <w:sz w:val="19"/>
              </w:rPr>
              <w:t>Requirement</w:t>
            </w:r>
          </w:p>
        </w:tc>
        <w:tc>
          <w:tcPr>
            <w:tcW w:w="4392" w:type="dxa"/>
            <w:tcBorders>
              <w:top w:val="single" w:sz="4" w:space="0" w:color="D9D9D9"/>
              <w:left w:val="single" w:sz="4" w:space="0" w:color="D9D9D9"/>
              <w:bottom w:val="single" w:sz="4" w:space="0" w:color="D9D9D9"/>
              <w:right w:val="single" w:sz="4" w:space="0" w:color="D9D9D9"/>
            </w:tcBorders>
            <w:shd w:val="clear" w:color="auto" w:fill="25394D"/>
            <w:tcMar>
              <w:top w:w="85" w:type="dxa"/>
              <w:left w:w="85" w:type="dxa"/>
              <w:bottom w:w="85" w:type="dxa"/>
              <w:right w:w="85" w:type="dxa"/>
            </w:tcMar>
            <w:vAlign w:val="center"/>
          </w:tcPr>
          <w:p w14:paraId="21D6F855" w14:textId="77777777" w:rsidR="0024547B" w:rsidRDefault="00000000">
            <w:pPr>
              <w:spacing w:after="20" w:line="247" w:lineRule="auto"/>
            </w:pPr>
            <w:r>
              <w:rPr>
                <w:b/>
                <w:color w:val="FFFFFF"/>
                <w:sz w:val="19"/>
              </w:rPr>
              <w:t>Acceptance Criteria</w:t>
            </w:r>
          </w:p>
        </w:tc>
      </w:tr>
      <w:tr w:rsidR="0024547B" w14:paraId="13C88486"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0D006CE2" w14:textId="77777777" w:rsidR="0024547B" w:rsidRDefault="00000000">
            <w:pPr>
              <w:spacing w:after="20" w:line="247" w:lineRule="auto"/>
              <w:jc w:val="center"/>
            </w:pPr>
            <w:r>
              <w:rPr>
                <w:sz w:val="19"/>
              </w:rPr>
              <w:t>QA-001</w:t>
            </w:r>
          </w:p>
        </w:tc>
        <w:tc>
          <w:tcPr>
            <w:tcW w:w="489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645DD6DE" w14:textId="77777777" w:rsidR="0024547B" w:rsidRDefault="00000000">
            <w:pPr>
              <w:spacing w:after="20" w:line="247" w:lineRule="auto"/>
            </w:pPr>
            <w:r>
              <w:rPr>
                <w:sz w:val="19"/>
              </w:rPr>
              <w:t>Functional changes shall follow a test-driven development workflow.</w:t>
            </w:r>
          </w:p>
        </w:tc>
        <w:tc>
          <w:tcPr>
            <w:tcW w:w="439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7F08E866" w14:textId="77777777" w:rsidR="0024547B" w:rsidRDefault="00000000">
            <w:pPr>
              <w:spacing w:after="20" w:line="247" w:lineRule="auto"/>
            </w:pPr>
            <w:r>
              <w:rPr>
                <w:sz w:val="19"/>
              </w:rPr>
              <w:t>Development history demonstrates a failing test, implementation, and passing test for representative features.</w:t>
            </w:r>
          </w:p>
        </w:tc>
      </w:tr>
      <w:tr w:rsidR="0024547B" w14:paraId="0F41BF0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90B8B6" w14:textId="77777777" w:rsidR="0024547B" w:rsidRDefault="00000000">
            <w:pPr>
              <w:spacing w:after="20" w:line="247" w:lineRule="auto"/>
              <w:jc w:val="center"/>
            </w:pPr>
            <w:r>
              <w:rPr>
                <w:sz w:val="19"/>
              </w:rPr>
              <w:t>QA-002</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0AE226" w14:textId="77777777" w:rsidR="0024547B" w:rsidRDefault="00000000">
            <w:pPr>
              <w:spacing w:after="20" w:line="247" w:lineRule="auto"/>
            </w:pPr>
            <w:r>
              <w:rPr>
                <w:sz w:val="19"/>
              </w:rPr>
              <w:t>Automated unit tests shall cover validation, alarm activation and recovery boundaries, acknowledgment, timestamp ordering, and stale-data detection.</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92C94E" w14:textId="77777777" w:rsidR="0024547B" w:rsidRDefault="00000000">
            <w:pPr>
              <w:spacing w:after="20" w:line="247" w:lineRule="auto"/>
            </w:pPr>
            <w:r>
              <w:rPr>
                <w:sz w:val="19"/>
              </w:rPr>
              <w:t>Required scenarios pass using controlled input and time.</w:t>
            </w:r>
          </w:p>
        </w:tc>
      </w:tr>
      <w:tr w:rsidR="0024547B" w14:paraId="3BA782A1"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684B5087" w14:textId="77777777" w:rsidR="0024547B" w:rsidRDefault="00000000">
            <w:pPr>
              <w:spacing w:after="20" w:line="247" w:lineRule="auto"/>
              <w:jc w:val="center"/>
            </w:pPr>
            <w:r>
              <w:rPr>
                <w:sz w:val="19"/>
              </w:rPr>
              <w:t>QA-003</w:t>
            </w:r>
          </w:p>
        </w:tc>
        <w:tc>
          <w:tcPr>
            <w:tcW w:w="489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2C5D4015" w14:textId="77777777" w:rsidR="0024547B" w:rsidRDefault="00000000">
            <w:pPr>
              <w:spacing w:after="20" w:line="247" w:lineRule="auto"/>
            </w:pPr>
            <w:r>
              <w:rPr>
                <w:sz w:val="19"/>
              </w:rPr>
              <w:t>Automated integration tests shall verify sensor input, application state, and event-storage interactions.</w:t>
            </w:r>
          </w:p>
        </w:tc>
        <w:tc>
          <w:tcPr>
            <w:tcW w:w="439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107034D5" w14:textId="77777777" w:rsidR="0024547B" w:rsidRDefault="00000000">
            <w:pPr>
              <w:spacing w:after="20" w:line="247" w:lineRule="auto"/>
            </w:pPr>
            <w:r>
              <w:rPr>
                <w:sz w:val="19"/>
              </w:rPr>
              <w:t>Tests verify normal operation and injected failures.</w:t>
            </w:r>
          </w:p>
        </w:tc>
      </w:tr>
      <w:tr w:rsidR="0024547B" w14:paraId="76B9BA75"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4B3D9F" w14:textId="77777777" w:rsidR="0024547B" w:rsidRDefault="00000000">
            <w:pPr>
              <w:spacing w:after="20" w:line="247" w:lineRule="auto"/>
              <w:jc w:val="center"/>
            </w:pPr>
            <w:r>
              <w:rPr>
                <w:sz w:val="19"/>
              </w:rPr>
              <w:t>QA-004</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87BC26" w14:textId="77777777" w:rsidR="0024547B" w:rsidRDefault="00000000">
            <w:pPr>
              <w:spacing w:after="20" w:line="247" w:lineRule="auto"/>
            </w:pPr>
            <w:r>
              <w:rPr>
                <w:sz w:val="19"/>
              </w:rPr>
              <w:t>Automated browser tests shall verify monitoring, alarm acknowledgment, sensor failure, recovery, and event-history workflows.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49F144" w14:textId="77777777" w:rsidR="0024547B" w:rsidRDefault="00000000">
            <w:pPr>
              <w:spacing w:after="20" w:line="247" w:lineRule="auto"/>
            </w:pPr>
            <w:r>
              <w:rPr>
                <w:sz w:val="19"/>
              </w:rPr>
              <w:t>All required workflows pass.</w:t>
            </w:r>
          </w:p>
        </w:tc>
      </w:tr>
      <w:tr w:rsidR="0024547B" w14:paraId="7B0CB838"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4E3304FA" w14:textId="77777777" w:rsidR="0024547B" w:rsidRDefault="00000000">
            <w:pPr>
              <w:spacing w:after="20" w:line="247" w:lineRule="auto"/>
              <w:jc w:val="center"/>
            </w:pPr>
            <w:r>
              <w:rPr>
                <w:sz w:val="19"/>
              </w:rPr>
              <w:t>QA-005</w:t>
            </w:r>
          </w:p>
        </w:tc>
        <w:tc>
          <w:tcPr>
            <w:tcW w:w="489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1652C902" w14:textId="77777777" w:rsidR="0024547B" w:rsidRDefault="00000000">
            <w:pPr>
              <w:spacing w:after="20" w:line="247" w:lineRule="auto"/>
            </w:pPr>
            <w:r>
              <w:rPr>
                <w:sz w:val="19"/>
              </w:rPr>
              <w:t>Automated tests shall achieve at least 90% statement coverage across maintained Python application code.</w:t>
            </w:r>
          </w:p>
        </w:tc>
        <w:tc>
          <w:tcPr>
            <w:tcW w:w="439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00F61192" w14:textId="77777777" w:rsidR="0024547B" w:rsidRDefault="00000000">
            <w:pPr>
              <w:spacing w:after="20" w:line="247" w:lineRule="auto"/>
            </w:pPr>
            <w:r>
              <w:rPr>
                <w:sz w:val="19"/>
              </w:rPr>
              <w:t>The coverage report meets the threshold. Test code and generated files are excluded; other exclusions require documented justification.</w:t>
            </w:r>
          </w:p>
        </w:tc>
      </w:tr>
      <w:tr w:rsidR="0024547B" w14:paraId="2A8DC8D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0446AA" w14:textId="77777777" w:rsidR="0024547B" w:rsidRDefault="00000000">
            <w:pPr>
              <w:spacing w:after="20" w:line="247" w:lineRule="auto"/>
              <w:jc w:val="center"/>
            </w:pPr>
            <w:r>
              <w:rPr>
                <w:sz w:val="19"/>
              </w:rPr>
              <w:t>QA-006</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17B29C" w14:textId="77777777" w:rsidR="0024547B" w:rsidRDefault="00000000">
            <w:pPr>
              <w:spacing w:after="20" w:line="247" w:lineRule="auto"/>
            </w:pPr>
            <w:r>
              <w:rPr>
                <w:sz w:val="19"/>
              </w:rPr>
              <w:t>Branch coverage shall be measured and reported separately.</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2BF61E" w14:textId="77777777" w:rsidR="0024547B" w:rsidRDefault="00000000">
            <w:pPr>
              <w:spacing w:after="20" w:line="247" w:lineRule="auto"/>
            </w:pPr>
            <w:r>
              <w:rPr>
                <w:sz w:val="19"/>
              </w:rPr>
              <w:t>Each automated verification run produces a branch-coverage report.</w:t>
            </w:r>
          </w:p>
        </w:tc>
      </w:tr>
      <w:tr w:rsidR="0024547B" w14:paraId="14B8214C"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1C5FE30A" w14:textId="77777777" w:rsidR="0024547B" w:rsidRDefault="00000000">
            <w:pPr>
              <w:spacing w:after="20" w:line="247" w:lineRule="auto"/>
              <w:jc w:val="center"/>
            </w:pPr>
            <w:r>
              <w:rPr>
                <w:sz w:val="19"/>
              </w:rPr>
              <w:t>QA-007</w:t>
            </w:r>
          </w:p>
        </w:tc>
        <w:tc>
          <w:tcPr>
            <w:tcW w:w="4896"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2595A9D0" w14:textId="77777777" w:rsidR="0024547B" w:rsidRDefault="00000000">
            <w:pPr>
              <w:spacing w:after="20" w:line="247" w:lineRule="auto"/>
            </w:pPr>
            <w:r>
              <w:rPr>
                <w:sz w:val="19"/>
              </w:rPr>
              <w:t>Each proposed code change shall trigger automated tests, lint checks, formatting checks, and coverage measurement.</w:t>
            </w:r>
          </w:p>
        </w:tc>
        <w:tc>
          <w:tcPr>
            <w:tcW w:w="4392"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79A0465C" w14:textId="77777777" w:rsidR="0024547B" w:rsidRDefault="00000000">
            <w:pPr>
              <w:spacing w:after="20" w:line="247" w:lineRule="auto"/>
            </w:pPr>
            <w:r>
              <w:rPr>
                <w:sz w:val="19"/>
              </w:rPr>
              <w:t>Any failed required check prevents the change from being accepted.</w:t>
            </w:r>
          </w:p>
        </w:tc>
      </w:tr>
      <w:tr w:rsidR="0024547B" w14:paraId="392CB491"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E22D68" w14:textId="77777777" w:rsidR="0024547B" w:rsidRDefault="00000000">
            <w:pPr>
              <w:spacing w:after="20" w:line="247" w:lineRule="auto"/>
              <w:jc w:val="center"/>
            </w:pPr>
            <w:r>
              <w:rPr>
                <w:sz w:val="19"/>
              </w:rPr>
              <w:t>QA-008</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F4F5F3" w14:textId="77777777" w:rsidR="0024547B" w:rsidRDefault="00000000">
            <w:pPr>
              <w:spacing w:after="20" w:line="247" w:lineRule="auto"/>
            </w:pPr>
            <w:r>
              <w:rPr>
                <w:sz w:val="19"/>
              </w:rPr>
              <w:t>Automated verification shall retain test results and coverage reports.</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8C5F32" w14:textId="77777777" w:rsidR="0024547B" w:rsidRDefault="00000000">
            <w:pPr>
              <w:spacing w:after="20" w:line="247" w:lineRule="auto"/>
            </w:pPr>
            <w:r>
              <w:rPr>
                <w:sz w:val="19"/>
              </w:rPr>
              <w:t>Reports identify the tested source revision and run outcome.</w:t>
            </w:r>
          </w:p>
        </w:tc>
      </w:tr>
    </w:tbl>
    <w:p w14:paraId="0317E962" w14:textId="77777777" w:rsidR="0024547B" w:rsidRDefault="00000000">
      <w:r>
        <w:t>The 90% coverage threshold is a project quality gate. It does not establish clinical safety or FDA compliance.</w:t>
      </w:r>
    </w:p>
    <w:p w14:paraId="47610BC0" w14:textId="77777777" w:rsidR="0024547B" w:rsidRDefault="00000000">
      <w:r>
        <w:br w:type="page"/>
      </w:r>
    </w:p>
    <w:p w14:paraId="710C929A" w14:textId="77777777" w:rsidR="0024547B" w:rsidRDefault="00000000">
      <w:pPr>
        <w:pStyle w:val="Heading1"/>
      </w:pPr>
      <w:r>
        <w:lastRenderedPageBreak/>
        <w:t>7 Documentation and Traceability Requirements</w:t>
      </w:r>
    </w:p>
    <w:tbl>
      <w:tblPr>
        <w:tblW w:w="0" w:type="auto"/>
        <w:jc w:val="center"/>
        <w:tblLayout w:type="fixed"/>
        <w:tblLook w:val="04A0" w:firstRow="1" w:lastRow="0" w:firstColumn="1" w:lastColumn="0" w:noHBand="0" w:noVBand="1"/>
      </w:tblPr>
      <w:tblGrid>
        <w:gridCol w:w="1080"/>
        <w:gridCol w:w="9144"/>
      </w:tblGrid>
      <w:tr w:rsidR="0024547B" w14:paraId="60890869" w14:textId="77777777">
        <w:trPr>
          <w:cantSplit/>
          <w:tblHeader/>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25394D"/>
            <w:tcMar>
              <w:top w:w="85" w:type="dxa"/>
              <w:left w:w="85" w:type="dxa"/>
              <w:bottom w:w="85" w:type="dxa"/>
              <w:right w:w="85" w:type="dxa"/>
            </w:tcMar>
            <w:vAlign w:val="center"/>
          </w:tcPr>
          <w:p w14:paraId="0A61043A" w14:textId="77777777" w:rsidR="0024547B" w:rsidRDefault="00000000">
            <w:pPr>
              <w:spacing w:after="20" w:line="247" w:lineRule="auto"/>
              <w:jc w:val="center"/>
            </w:pPr>
            <w:r>
              <w:rPr>
                <w:b/>
                <w:color w:val="FFFFFF"/>
                <w:sz w:val="19"/>
              </w:rPr>
              <w:t>ID</w:t>
            </w:r>
          </w:p>
        </w:tc>
        <w:tc>
          <w:tcPr>
            <w:tcW w:w="9144" w:type="dxa"/>
            <w:tcBorders>
              <w:top w:val="single" w:sz="4" w:space="0" w:color="D9D9D9"/>
              <w:left w:val="single" w:sz="4" w:space="0" w:color="D9D9D9"/>
              <w:bottom w:val="single" w:sz="4" w:space="0" w:color="D9D9D9"/>
              <w:right w:val="single" w:sz="4" w:space="0" w:color="D9D9D9"/>
            </w:tcBorders>
            <w:shd w:val="clear" w:color="auto" w:fill="25394D"/>
            <w:tcMar>
              <w:top w:w="85" w:type="dxa"/>
              <w:left w:w="85" w:type="dxa"/>
              <w:bottom w:w="85" w:type="dxa"/>
              <w:right w:w="85" w:type="dxa"/>
            </w:tcMar>
            <w:vAlign w:val="center"/>
          </w:tcPr>
          <w:p w14:paraId="46EBD64C" w14:textId="77777777" w:rsidR="0024547B" w:rsidRDefault="00000000">
            <w:pPr>
              <w:spacing w:after="20" w:line="247" w:lineRule="auto"/>
            </w:pPr>
            <w:r>
              <w:rPr>
                <w:b/>
                <w:color w:val="FFFFFF"/>
                <w:sz w:val="19"/>
              </w:rPr>
              <w:t>Requirement</w:t>
            </w:r>
          </w:p>
        </w:tc>
      </w:tr>
      <w:tr w:rsidR="0024547B" w14:paraId="1BA72FED"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04148614" w14:textId="77777777" w:rsidR="0024547B" w:rsidRDefault="00000000">
            <w:pPr>
              <w:spacing w:after="20" w:line="247" w:lineRule="auto"/>
              <w:jc w:val="center"/>
            </w:pPr>
            <w:r>
              <w:rPr>
                <w:sz w:val="19"/>
              </w:rPr>
              <w:t>DOC-001</w:t>
            </w:r>
          </w:p>
        </w:tc>
        <w:tc>
          <w:tcPr>
            <w:tcW w:w="9144"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22687041" w14:textId="77777777" w:rsidR="0024547B" w:rsidRDefault="00000000">
            <w:pPr>
              <w:spacing w:after="20" w:line="247" w:lineRule="auto"/>
            </w:pPr>
            <w:r>
              <w:rPr>
                <w:sz w:val="19"/>
              </w:rPr>
              <w:t>The project shall maintain version-controlled requirements, an architecture description, a hazard analysis, and a test plan.</w:t>
            </w:r>
          </w:p>
        </w:tc>
      </w:tr>
      <w:tr w:rsidR="0024547B" w14:paraId="5945E145"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E6676B" w14:textId="77777777" w:rsidR="0024547B" w:rsidRDefault="00000000">
            <w:pPr>
              <w:spacing w:after="20" w:line="247" w:lineRule="auto"/>
              <w:jc w:val="center"/>
            </w:pPr>
            <w:r>
              <w:rPr>
                <w:sz w:val="19"/>
              </w:rPr>
              <w:t>DOC-002</w:t>
            </w:r>
          </w:p>
        </w:tc>
        <w:tc>
          <w:tcPr>
            <w:tcW w:w="91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1A6948" w14:textId="77777777" w:rsidR="0024547B" w:rsidRDefault="00000000">
            <w:pPr>
              <w:spacing w:after="20" w:line="247" w:lineRule="auto"/>
            </w:pPr>
            <w:r>
              <w:rPr>
                <w:sz w:val="19"/>
              </w:rPr>
              <w:t>A traceability matrix shall connect each functional and safety requirement to its implementation and verification tests.</w:t>
            </w:r>
          </w:p>
        </w:tc>
      </w:tr>
      <w:tr w:rsidR="0024547B" w14:paraId="6453E246"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68E00668" w14:textId="77777777" w:rsidR="0024547B" w:rsidRDefault="00000000">
            <w:pPr>
              <w:spacing w:after="20" w:line="247" w:lineRule="auto"/>
              <w:jc w:val="center"/>
            </w:pPr>
            <w:r>
              <w:rPr>
                <w:sz w:val="19"/>
              </w:rPr>
              <w:t>DOC-003</w:t>
            </w:r>
          </w:p>
        </w:tc>
        <w:tc>
          <w:tcPr>
            <w:tcW w:w="9144"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7562A4A9" w14:textId="77777777" w:rsidR="0024547B" w:rsidRDefault="00000000">
            <w:pPr>
              <w:spacing w:after="20" w:line="247" w:lineRule="auto"/>
            </w:pPr>
            <w:r>
              <w:rPr>
                <w:sz w:val="19"/>
              </w:rPr>
              <w:t>The hazard analysis shall identify hazards, foreseeable causes, software controls, and control-verification tests.</w:t>
            </w:r>
          </w:p>
        </w:tc>
      </w:tr>
      <w:tr w:rsidR="0024547B" w14:paraId="7DB10B31"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1C9371" w14:textId="77777777" w:rsidR="0024547B" w:rsidRDefault="00000000">
            <w:pPr>
              <w:spacing w:after="20" w:line="247" w:lineRule="auto"/>
              <w:jc w:val="center"/>
            </w:pPr>
            <w:r>
              <w:rPr>
                <w:sz w:val="19"/>
              </w:rPr>
              <w:t>DOC-004</w:t>
            </w:r>
          </w:p>
        </w:tc>
        <w:tc>
          <w:tcPr>
            <w:tcW w:w="91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50FAC4" w14:textId="77777777" w:rsidR="0024547B" w:rsidRDefault="00000000">
            <w:pPr>
              <w:spacing w:after="20" w:line="247" w:lineRule="auto"/>
            </w:pPr>
            <w:r>
              <w:rPr>
                <w:sz w:val="19"/>
              </w:rPr>
              <w:t>A validation report shall document whether representative users can complete the intended simulated workflows.</w:t>
            </w:r>
          </w:p>
        </w:tc>
      </w:tr>
      <w:tr w:rsidR="0024547B" w14:paraId="2804D45D"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0C0741E0" w14:textId="77777777" w:rsidR="0024547B" w:rsidRDefault="00000000">
            <w:pPr>
              <w:spacing w:after="20" w:line="247" w:lineRule="auto"/>
              <w:jc w:val="center"/>
            </w:pPr>
            <w:r>
              <w:rPr>
                <w:sz w:val="19"/>
              </w:rPr>
              <w:t>DOC-005</w:t>
            </w:r>
          </w:p>
        </w:tc>
        <w:tc>
          <w:tcPr>
            <w:tcW w:w="9144" w:type="dxa"/>
            <w:tcBorders>
              <w:top w:val="single" w:sz="4" w:space="0" w:color="D9D9D9"/>
              <w:left w:val="single" w:sz="4" w:space="0" w:color="D9D9D9"/>
              <w:bottom w:val="single" w:sz="4" w:space="0" w:color="D9D9D9"/>
              <w:right w:val="single" w:sz="4" w:space="0" w:color="D9D9D9"/>
            </w:tcBorders>
            <w:shd w:val="clear" w:color="auto" w:fill="F2F5F8"/>
            <w:tcMar>
              <w:top w:w="85" w:type="dxa"/>
              <w:left w:w="85" w:type="dxa"/>
              <w:bottom w:w="85" w:type="dxa"/>
              <w:right w:w="85" w:type="dxa"/>
            </w:tcMar>
            <w:vAlign w:val="center"/>
          </w:tcPr>
          <w:p w14:paraId="0D76F795" w14:textId="77777777" w:rsidR="0024547B" w:rsidRDefault="00000000">
            <w:pPr>
              <w:spacing w:after="20" w:line="247" w:lineRule="auto"/>
            </w:pPr>
            <w:r>
              <w:rPr>
                <w:sz w:val="19"/>
              </w:rPr>
              <w:t>Each release shall identify its source revision, verification results, known defects, and limitations.</w:t>
            </w:r>
          </w:p>
        </w:tc>
      </w:tr>
      <w:tr w:rsidR="0024547B" w14:paraId="0DB560B0" w14:textId="77777777">
        <w:trPr>
          <w:cantSplit/>
          <w:jc w:val="center"/>
        </w:trPr>
        <w:tc>
          <w:tcPr>
            <w:tcW w:w="10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53C754" w14:textId="77777777" w:rsidR="0024547B" w:rsidRDefault="00000000">
            <w:pPr>
              <w:spacing w:after="20" w:line="247" w:lineRule="auto"/>
              <w:jc w:val="center"/>
            </w:pPr>
            <w:r>
              <w:rPr>
                <w:sz w:val="19"/>
              </w:rPr>
              <w:t>DOC-006</w:t>
            </w:r>
          </w:p>
        </w:tc>
        <w:tc>
          <w:tcPr>
            <w:tcW w:w="91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12CFAA" w14:textId="77777777" w:rsidR="0024547B" w:rsidRDefault="00000000">
            <w:pPr>
              <w:spacing w:after="20" w:line="247" w:lineRule="auto"/>
            </w:pPr>
            <w:r>
              <w:rPr>
                <w:sz w:val="19"/>
              </w:rPr>
              <w:t>A regulatory-context document shall explain how the project’s artifacts relate to relevant FDA software guidance and distinguish educational evidence from a regulatory submission.</w:t>
            </w:r>
          </w:p>
        </w:tc>
      </w:tr>
    </w:tbl>
    <w:p w14:paraId="024AEEB2" w14:textId="77777777" w:rsidR="0024547B" w:rsidRDefault="00000000">
      <w:pPr>
        <w:pStyle w:val="Heading1"/>
      </w:pPr>
      <w:r>
        <w:t>8 Project Completion Criteria</w:t>
      </w:r>
    </w:p>
    <w:p w14:paraId="0FB3E355" w14:textId="77777777" w:rsidR="0024547B" w:rsidRDefault="00000000">
      <w:r>
        <w:t>The project is complete when:</w:t>
      </w:r>
    </w:p>
    <w:p w14:paraId="0324DDFF" w14:textId="77777777" w:rsidR="0024547B" w:rsidRDefault="00000000">
      <w:pPr>
        <w:pStyle w:val="ListBullet"/>
      </w:pPr>
      <w:r>
        <w:t>All functional and safety requirements have passing verification evidence.</w:t>
      </w:r>
    </w:p>
    <w:p w14:paraId="386526E6" w14:textId="77777777" w:rsidR="0024547B" w:rsidRDefault="00000000">
      <w:pPr>
        <w:pStyle w:val="ListBullet"/>
      </w:pPr>
      <w:r>
        <w:t>Required automated checks pass and statement coverage meets 90%.</w:t>
      </w:r>
    </w:p>
    <w:p w14:paraId="1B92264B" w14:textId="77777777" w:rsidR="0024547B" w:rsidRDefault="00000000">
      <w:pPr>
        <w:pStyle w:val="ListBullet"/>
      </w:pPr>
      <w:r>
        <w:t>Requirements and risk controls have complete test traceability.</w:t>
      </w:r>
    </w:p>
    <w:p w14:paraId="50D3C278" w14:textId="77777777" w:rsidR="0024547B" w:rsidRDefault="00000000">
      <w:pPr>
        <w:pStyle w:val="ListBullet"/>
      </w:pPr>
      <w:r>
        <w:t>The frontend demonstrates normal readings, alarm activation, acknowledgment, sensor disconnection, and recovery.</w:t>
      </w:r>
    </w:p>
    <w:p w14:paraId="66D84A69" w14:textId="77777777" w:rsidR="0024547B" w:rsidRDefault="00000000">
      <w:pPr>
        <w:pStyle w:val="ListBullet"/>
      </w:pPr>
      <w:r>
        <w:t>The documentation identifies known limitations and unresolved defects.</w:t>
      </w:r>
    </w:p>
    <w:p w14:paraId="12AB8FAA" w14:textId="77777777" w:rsidR="0024547B" w:rsidRDefault="00000000">
      <w:pPr>
        <w:pStyle w:val="ListBullet"/>
      </w:pPr>
      <w:r>
        <w:t>The release is clearly labeled as an educational simulation.</w:t>
      </w:r>
    </w:p>
    <w:p>
      <w:r>
        <w:br w:type="page"/>
      </w:r>
    </w:p>
    <w:p>
      <w:pPr>
        <w:pStyle w:val="Title"/>
      </w:pPr>
      <w:r>
        <w:t>9 Cybersecurity and Privacy Requirements — Proposed Addendum</w:t>
      </w:r>
    </w:p>
    <w:p>
      <w:r>
        <w:t>Version 1.1 | October 10, 2026 | Proposed for design review</w:t>
      </w:r>
    </w:p>
    <w:p>
      <w:r>
        <w:t>The original FR, SF, AR, QA and DOC requirements remain unchanged. The following are additional project-level requirements selected to demonstrate secure-by-design practices; they do not themselves establish FDA clearance, EU MDR conformity, or GDPR compliance. All physiological data must remain synthetic. Applicability of statutory requirements must be assessed separately.</w:t>
      </w:r>
    </w:p>
    <w:p>
      <w:pPr>
        <w:pStyle w:val="Heading1"/>
      </w:pPr>
      <w:r>
        <w:t>9.1 Cybersecurity Requirements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ID</w:t>
            </w:r>
          </w:p>
        </w:tc>
        <w:tc>
          <w:tcPr>
            <w:tcW w:type="dxa" w:w="3408"/>
          </w:tcPr>
          <w:p>
            <w:r>
              <w:t>Requirement</w:t>
            </w:r>
          </w:p>
        </w:tc>
        <w:tc>
          <w:tcPr>
            <w:tcW w:type="dxa" w:w="3408"/>
          </w:tcPr>
          <w:p>
            <w:r>
              <w:t>Acceptance criteria</w:t>
            </w:r>
          </w:p>
        </w:tc>
      </w:tr>
      <w:tr>
        <w:tc>
          <w:tcPr>
            <w:tcW w:type="dxa" w:w="3408"/>
          </w:tcPr>
          <w:p>
            <w:r>
              <w:t>SEC-001</w:t>
            </w:r>
          </w:p>
        </w:tc>
        <w:tc>
          <w:tcPr>
            <w:tcW w:type="dxa" w:w="3408"/>
          </w:tcPr>
          <w:p>
            <w:r>
              <w:t>Protected operations shall require authenticated operator identity in network-accessible mode.</w:t>
            </w:r>
          </w:p>
        </w:tc>
        <w:tc>
          <w:tcPr>
            <w:tcW w:type="dxa" w:w="3408"/>
          </w:tcPr>
          <w:p>
            <w:r>
              <w:t>Unauthenticated start/stop, acknowledge, disconnect and event-history requests are rejected; tests confirm no state change.</w:t>
            </w:r>
          </w:p>
        </w:tc>
      </w:tr>
      <w:tr>
        <w:tc>
          <w:tcPr>
            <w:tcW w:type="dxa" w:w="3408"/>
          </w:tcPr>
          <w:p>
            <w:r>
              <w:t>SEC-002</w:t>
            </w:r>
          </w:p>
        </w:tc>
        <w:tc>
          <w:tcPr>
            <w:tcW w:type="dxa" w:w="3408"/>
          </w:tcPr>
          <w:p>
            <w:r>
              <w:t>Backend shall authorize each state-changing operation and session subscription.</w:t>
            </w:r>
          </w:p>
        </w:tc>
        <w:tc>
          <w:tcPr>
            <w:tcW w:type="dxa" w:w="3408"/>
          </w:tcPr>
          <w:p>
            <w:r>
              <w:t>Observer requests to modify session or alarm state return 403; operator requests succeed; cross-session access denied.</w:t>
            </w:r>
          </w:p>
        </w:tc>
      </w:tr>
      <w:tr>
        <w:tc>
          <w:tcPr>
            <w:tcW w:type="dxa" w:w="3408"/>
          </w:tcPr>
          <w:p>
            <w:r>
              <w:t>SEC-003</w:t>
            </w:r>
          </w:p>
        </w:tc>
        <w:tc>
          <w:tcPr>
            <w:tcW w:type="dxa" w:w="3408"/>
          </w:tcPr>
          <w:p>
            <w:r>
              <w:t>Network deployments shall use HTTPS and WSS; local-only mode shall bind to loopback.</w:t>
            </w:r>
          </w:p>
        </w:tc>
        <w:tc>
          <w:tcPr>
            <w:tcW w:type="dxa" w:w="3408"/>
          </w:tcPr>
          <w:p>
            <w:r>
              <w:t>Configuration tests reject insecure network binding and plaintext remote transport.</w:t>
            </w:r>
          </w:p>
        </w:tc>
      </w:tr>
      <w:tr>
        <w:tc>
          <w:tcPr>
            <w:tcW w:type="dxa" w:w="3408"/>
          </w:tcPr>
          <w:p>
            <w:r>
              <w:t>SEC-004</w:t>
            </w:r>
          </w:p>
        </w:tc>
        <w:tc>
          <w:tcPr>
            <w:tcW w:type="dxa" w:w="3408"/>
          </w:tcPr>
          <w:p>
            <w:r>
              <w:t>All API and WebSocket inputs shall be schema-validated with bounded sizes and typed fields.</w:t>
            </w:r>
          </w:p>
        </w:tc>
        <w:tc>
          <w:tcPr>
            <w:tcW w:type="dxa" w:w="3408"/>
          </w:tcPr>
          <w:p>
            <w:r>
              <w:t>Malformed, oversized, nonfinite, duplicate and out-of-order inputs are rejected without altering accepted state.</w:t>
            </w:r>
          </w:p>
        </w:tc>
      </w:tr>
      <w:tr>
        <w:tc>
          <w:tcPr>
            <w:tcW w:type="dxa" w:w="3408"/>
          </w:tcPr>
          <w:p>
            <w:r>
              <w:t>SEC-005</w:t>
            </w:r>
          </w:p>
        </w:tc>
        <w:tc>
          <w:tcPr>
            <w:tcW w:type="dxa" w:w="3408"/>
          </w:tcPr>
          <w:p>
            <w:r>
              <w:t>Security-relevant events shall be recorded separately from clinical-simulation events without secrets.</w:t>
            </w:r>
          </w:p>
        </w:tc>
        <w:tc>
          <w:tcPr>
            <w:tcW w:type="dxa" w:w="3408"/>
          </w:tcPr>
          <w:p>
            <w:r>
              <w:t>Authentication failures, denied commands and security configuration changes produce redacted audit records.</w:t>
            </w:r>
          </w:p>
        </w:tc>
      </w:tr>
      <w:tr>
        <w:tc>
          <w:tcPr>
            <w:tcW w:type="dxa" w:w="3408"/>
          </w:tcPr>
          <w:p>
            <w:r>
              <w:t>SEC-006</w:t>
            </w:r>
          </w:p>
        </w:tc>
        <w:tc>
          <w:tcPr>
            <w:tcW w:type="dxa" w:w="3408"/>
          </w:tcPr>
          <w:p>
            <w:r>
              <w:t>Stored event data and application secrets shall have least-privilege access protections.</w:t>
            </w:r>
          </w:p>
        </w:tc>
        <w:tc>
          <w:tcPr>
            <w:tcW w:type="dxa" w:w="3408"/>
          </w:tcPr>
          <w:p>
            <w:r>
              <w:t>Tests/configuration review verify restricted file permissions and no embedded credentials.</w:t>
            </w:r>
          </w:p>
        </w:tc>
      </w:tr>
      <w:tr>
        <w:tc>
          <w:tcPr>
            <w:tcW w:type="dxa" w:w="3408"/>
          </w:tcPr>
          <w:p>
            <w:r>
              <w:t>SEC-007</w:t>
            </w:r>
          </w:p>
        </w:tc>
        <w:tc>
          <w:tcPr>
            <w:tcW w:type="dxa" w:w="3408"/>
          </w:tcPr>
          <w:p>
            <w:r>
              <w:t>CI shall scan Python and frontend dependencies for known vulnerabilities.</w:t>
            </w:r>
          </w:p>
        </w:tc>
        <w:tc>
          <w:tcPr>
            <w:tcW w:type="dxa" w:w="3408"/>
          </w:tcPr>
          <w:p>
            <w:r>
              <w:t>Scan artifacts retained; unresolved findings are reviewed and dispositioned before release.</w:t>
            </w:r>
          </w:p>
        </w:tc>
      </w:tr>
      <w:tr>
        <w:tc>
          <w:tcPr>
            <w:tcW w:type="dxa" w:w="3408"/>
          </w:tcPr>
          <w:p>
            <w:r>
              <w:t>SEC-008</w:t>
            </w:r>
          </w:p>
        </w:tc>
        <w:tc>
          <w:tcPr>
            <w:tcW w:type="dxa" w:w="3408"/>
          </w:tcPr>
          <w:p>
            <w:r>
              <w:t>Each release shall produce an SBOM covering backend and frontend resolved dependencies.</w:t>
            </w:r>
          </w:p>
        </w:tc>
        <w:tc>
          <w:tcPr>
            <w:tcW w:type="dxa" w:w="3408"/>
          </w:tcPr>
          <w:p>
            <w:r>
              <w:t>Machine-readable CycloneDX or SPDX SBOM generated and linked to revision.</w:t>
            </w:r>
          </w:p>
        </w:tc>
      </w:tr>
      <w:tr>
        <w:tc>
          <w:tcPr>
            <w:tcW w:type="dxa" w:w="3408"/>
          </w:tcPr>
          <w:p>
            <w:r>
              <w:t>SEC-009</w:t>
            </w:r>
          </w:p>
        </w:tc>
        <w:tc>
          <w:tcPr>
            <w:tcW w:type="dxa" w:w="3408"/>
          </w:tcPr>
          <w:p>
            <w:r>
              <w:t>A version-controlled threat model shall describe assets, data flows, entry points and trust boundaries.</w:t>
            </w:r>
          </w:p>
        </w:tc>
        <w:tc>
          <w:tcPr>
            <w:tcW w:type="dxa" w:w="3408"/>
          </w:tcPr>
          <w:p>
            <w:r>
              <w:t>Review records show identified threats, controls and owners.</w:t>
            </w:r>
          </w:p>
        </w:tc>
      </w:tr>
      <w:tr>
        <w:tc>
          <w:tcPr>
            <w:tcW w:type="dxa" w:w="3408"/>
          </w:tcPr>
          <w:p>
            <w:r>
              <w:t>SEC-010</w:t>
            </w:r>
          </w:p>
        </w:tc>
        <w:tc>
          <w:tcPr>
            <w:tcW w:type="dxa" w:w="3408"/>
          </w:tcPr>
          <w:p>
            <w:r>
              <w:t>Cybersecurity risks shall trace to mitigations and verification evidence.</w:t>
            </w:r>
          </w:p>
        </w:tc>
        <w:tc>
          <w:tcPr>
            <w:tcW w:type="dxa" w:w="3408"/>
          </w:tcPr>
          <w:p>
            <w:r>
              <w:t>Every identified security risk has a documented disposition and at least one linked verification activity.</w:t>
            </w:r>
          </w:p>
        </w:tc>
      </w:tr>
      <w:tr>
        <w:tc>
          <w:tcPr>
            <w:tcW w:type="dxa" w:w="3408"/>
          </w:tcPr>
          <w:p>
            <w:r>
              <w:t>SEC-011</w:t>
            </w:r>
          </w:p>
        </w:tc>
        <w:tc>
          <w:tcPr>
            <w:tcW w:type="dxa" w:w="3408"/>
          </w:tcPr>
          <w:p>
            <w:r>
              <w:t>Malformed and unauthorized requests shall not corrupt monitoring or alarm state.</w:t>
            </w:r>
          </w:p>
        </w:tc>
        <w:tc>
          <w:tcPr>
            <w:tcW w:type="dxa" w:w="3408"/>
          </w:tcPr>
          <w:p>
            <w:r>
              <w:t>Fault-injection tests preserve state and show explicit error responses.</w:t>
            </w:r>
          </w:p>
        </w:tc>
      </w:tr>
      <w:tr>
        <w:tc>
          <w:tcPr>
            <w:tcW w:type="dxa" w:w="3408"/>
          </w:tcPr>
          <w:p>
            <w:r>
              <w:t>SEC-012</w:t>
            </w:r>
          </w:p>
        </w:tc>
        <w:tc>
          <w:tcPr>
            <w:tcW w:type="dxa" w:w="3408"/>
          </w:tcPr>
          <w:p>
            <w:r>
              <w:t>The project shall document vulnerability intake, triage, remediation and release decisions.</w:t>
            </w:r>
          </w:p>
        </w:tc>
        <w:tc>
          <w:tcPr>
            <w:tcW w:type="dxa" w:w="3408"/>
          </w:tcPr>
          <w:p>
            <w:r>
              <w:t>A sample vulnerability record demonstrates the process and evidence retention.</w:t>
            </w:r>
          </w:p>
        </w:tc>
      </w:tr>
      <w:tr>
        <w:tc>
          <w:tcPr>
            <w:tcW w:type="dxa" w:w="3408"/>
          </w:tcPr>
          <w:p>
            <w:r>
              <w:t>SEC-013</w:t>
            </w:r>
          </w:p>
        </w:tc>
        <w:tc>
          <w:tcPr>
            <w:tcW w:type="dxa" w:w="3408"/>
          </w:tcPr>
          <w:p>
            <w:r>
              <w:t>The system shall use least-privilege and secure configuration defaults.</w:t>
            </w:r>
          </w:p>
        </w:tc>
        <w:tc>
          <w:tcPr>
            <w:tcW w:type="dxa" w:w="3408"/>
          </w:tcPr>
          <w:p>
            <w:r>
              <w:t>Default configuration disallows external network exposure and debug endpoints.</w:t>
            </w:r>
          </w:p>
        </w:tc>
      </w:tr>
      <w:tr>
        <w:tc>
          <w:tcPr>
            <w:tcW w:type="dxa" w:w="3408"/>
          </w:tcPr>
          <w:p>
            <w:r>
              <w:t>SEC-014</w:t>
            </w:r>
          </w:p>
        </w:tc>
        <w:tc>
          <w:tcPr>
            <w:tcW w:type="dxa" w:w="3408"/>
          </w:tcPr>
          <w:p>
            <w:r>
              <w:t>Alarm acknowledgment shall be authorized and bound to the current alarm episode.</w:t>
            </w:r>
          </w:p>
        </w:tc>
        <w:tc>
          <w:tcPr>
            <w:tcW w:type="dxa" w:w="3408"/>
          </w:tcPr>
          <w:p>
            <w:r>
              <w:t>Unauthorized, stale-episode and duplicate acknowledgment scenarios have passing tests.</w:t>
            </w:r>
          </w:p>
        </w:tc>
      </w:tr>
      <w:tr>
        <w:tc>
          <w:tcPr>
            <w:tcW w:type="dxa" w:w="3408"/>
          </w:tcPr>
          <w:p>
            <w:r>
              <w:t>SEC-015</w:t>
            </w:r>
          </w:p>
        </w:tc>
        <w:tc>
          <w:tcPr>
            <w:tcW w:type="dxa" w:w="3408"/>
          </w:tcPr>
          <w:p>
            <w:r>
              <w:t>Release documentation shall define secure update, rollback and integrity verification procedures.</w:t>
            </w:r>
          </w:p>
        </w:tc>
        <w:tc>
          <w:tcPr>
            <w:tcW w:type="dxa" w:w="3408"/>
          </w:tcPr>
          <w:p>
            <w:r>
              <w:t>A controlled update/rollback exercise is recorded.</w:t>
            </w:r>
          </w:p>
        </w:tc>
      </w:tr>
      <w:tr>
        <w:tc>
          <w:tcPr>
            <w:tcW w:type="dxa" w:w="3408"/>
          </w:tcPr>
          <w:p>
            <w:r>
              <w:t>SEC-016</w:t>
            </w:r>
          </w:p>
        </w:tc>
        <w:tc>
          <w:tcPr>
            <w:tcW w:type="dxa" w:w="3408"/>
          </w:tcPr>
          <w:p>
            <w:r>
              <w:t>Transport interruption shall be differentiated from sensor disconnection and shown explicitly.</w:t>
            </w:r>
          </w:p>
        </w:tc>
        <w:tc>
          <w:tcPr>
            <w:tcW w:type="dxa" w:w="3408"/>
          </w:tcPr>
          <w:p>
            <w:r>
              <w:t>WebSocket interruption produces connection warning and snapshot resynchronization after reconnect.</w:t>
            </w:r>
          </w:p>
        </w:tc>
      </w:tr>
    </w:tbl>
    <w:p/>
    <w:p>
      <w:pPr>
        <w:pStyle w:val="Heading1"/>
      </w:pPr>
      <w:r>
        <w:t>9.2 Privacy Requirements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ID</w:t>
            </w:r>
          </w:p>
        </w:tc>
        <w:tc>
          <w:tcPr>
            <w:tcW w:type="dxa" w:w="3408"/>
          </w:tcPr>
          <w:p>
            <w:r>
              <w:t>Requirement</w:t>
            </w:r>
          </w:p>
        </w:tc>
        <w:tc>
          <w:tcPr>
            <w:tcW w:type="dxa" w:w="3408"/>
          </w:tcPr>
          <w:p>
            <w:r>
              <w:t>Acceptance criteria</w:t>
            </w:r>
          </w:p>
        </w:tc>
      </w:tr>
      <w:tr>
        <w:tc>
          <w:tcPr>
            <w:tcW w:type="dxa" w:w="3408"/>
          </w:tcPr>
          <w:p>
            <w:r>
              <w:t>PRIV-001</w:t>
            </w:r>
          </w:p>
        </w:tc>
        <w:tc>
          <w:tcPr>
            <w:tcW w:type="dxa" w:w="3408"/>
          </w:tcPr>
          <w:p>
            <w:r>
              <w:t>The simulator shall use synthetic physiological measurements only.</w:t>
            </w:r>
          </w:p>
        </w:tc>
        <w:tc>
          <w:tcPr>
            <w:tcW w:type="dxa" w:w="3408"/>
          </w:tcPr>
          <w:p>
            <w:r>
              <w:t>Test data and UI include no actual patient records; release review confirms synthetic-only datasets.</w:t>
            </w:r>
          </w:p>
        </w:tc>
      </w:tr>
      <w:tr>
        <w:tc>
          <w:tcPr>
            <w:tcW w:type="dxa" w:w="3408"/>
          </w:tcPr>
          <w:p>
            <w:r>
              <w:t>PRIV-002</w:t>
            </w:r>
          </w:p>
        </w:tc>
        <w:tc>
          <w:tcPr>
            <w:tcW w:type="dxa" w:w="3408"/>
          </w:tcPr>
          <w:p>
            <w:r>
              <w:t>The system shall not require patient names, dates of birth, or medical record identifiers.</w:t>
            </w:r>
          </w:p>
        </w:tc>
        <w:tc>
          <w:tcPr>
            <w:tcW w:type="dxa" w:w="3408"/>
          </w:tcPr>
          <w:p>
            <w:r>
              <w:t>Data schema review confirms absence of patient-identifying fields.</w:t>
            </w:r>
          </w:p>
        </w:tc>
      </w:tr>
      <w:tr>
        <w:tc>
          <w:tcPr>
            <w:tcW w:type="dxa" w:w="3408"/>
          </w:tcPr>
          <w:p>
            <w:r>
              <w:t>PRIV-003</w:t>
            </w:r>
          </w:p>
        </w:tc>
        <w:tc>
          <w:tcPr>
            <w:tcW w:type="dxa" w:w="3408"/>
          </w:tcPr>
          <w:p>
            <w:r>
              <w:t>The project shall maintain a data inventory covering events, logs, accounts and metadata.</w:t>
            </w:r>
          </w:p>
        </w:tc>
        <w:tc>
          <w:tcPr>
            <w:tcW w:type="dxa" w:w="3408"/>
          </w:tcPr>
          <w:p>
            <w:r>
              <w:t>Inventory lists data category, purpose, storage location, retention and access.</w:t>
            </w:r>
          </w:p>
        </w:tc>
      </w:tr>
      <w:tr>
        <w:tc>
          <w:tcPr>
            <w:tcW w:type="dxa" w:w="3408"/>
          </w:tcPr>
          <w:p>
            <w:r>
              <w:t>PRIV-004</w:t>
            </w:r>
          </w:p>
        </w:tc>
        <w:tc>
          <w:tcPr>
            <w:tcW w:type="dxa" w:w="3408"/>
          </w:tcPr>
          <w:p>
            <w:r>
              <w:t>The system shall minimize personal data collection and disable third-party analytics by default.</w:t>
            </w:r>
          </w:p>
        </w:tc>
        <w:tc>
          <w:tcPr>
            <w:tcW w:type="dxa" w:w="3408"/>
          </w:tcPr>
          <w:p>
            <w:r>
              <w:t>Configuration and network inspection verify no analytics endpoints.</w:t>
            </w:r>
          </w:p>
        </w:tc>
      </w:tr>
      <w:tr>
        <w:tc>
          <w:tcPr>
            <w:tcW w:type="dxa" w:w="3408"/>
          </w:tcPr>
          <w:p>
            <w:r>
              <w:t>PRIV-005</w:t>
            </w:r>
          </w:p>
        </w:tc>
        <w:tc>
          <w:tcPr>
            <w:tcW w:type="dxa" w:w="3408"/>
          </w:tcPr>
          <w:p>
            <w:r>
              <w:t>Application logs shall exclude credentials, tokens and unnecessary identifiers.</w:t>
            </w:r>
          </w:p>
        </w:tc>
        <w:tc>
          <w:tcPr>
            <w:tcW w:type="dxa" w:w="3408"/>
          </w:tcPr>
          <w:p>
            <w:r>
              <w:t>Automated log-redaction tests cover authentication and errors.</w:t>
            </w:r>
          </w:p>
        </w:tc>
      </w:tr>
      <w:tr>
        <w:tc>
          <w:tcPr>
            <w:tcW w:type="dxa" w:w="3408"/>
          </w:tcPr>
          <w:p>
            <w:r>
              <w:t>PRIV-006</w:t>
            </w:r>
          </w:p>
        </w:tc>
        <w:tc>
          <w:tcPr>
            <w:tcW w:type="dxa" w:w="3408"/>
          </w:tcPr>
          <w:p>
            <w:r>
              <w:t>The system shall document retention, deletion and backup handling.</w:t>
            </w:r>
          </w:p>
        </w:tc>
        <w:tc>
          <w:tcPr>
            <w:tcW w:type="dxa" w:w="3408"/>
          </w:tcPr>
          <w:p>
            <w:r>
              <w:t>Test verifies documented deletion procedure for synthetic sessions; audit-retention exception documented.</w:t>
            </w:r>
          </w:p>
        </w:tc>
      </w:tr>
      <w:tr>
        <w:tc>
          <w:tcPr>
            <w:tcW w:type="dxa" w:w="3408"/>
          </w:tcPr>
          <w:p>
            <w:r>
              <w:t>PRIV-007</w:t>
            </w:r>
          </w:p>
        </w:tc>
        <w:tc>
          <w:tcPr>
            <w:tcW w:type="dxa" w:w="3408"/>
          </w:tcPr>
          <w:p>
            <w:r>
              <w:t>A GDPR applicability assessment shall be maintained and reviewed on scope changes.</w:t>
            </w:r>
          </w:p>
        </w:tc>
        <w:tc>
          <w:tcPr>
            <w:tcW w:type="dxa" w:w="3408"/>
          </w:tcPr>
          <w:p>
            <w:r>
              <w:t>Document explains whether identifiable natural-person data is processed and which obligations may apply.</w:t>
            </w:r>
          </w:p>
        </w:tc>
      </w:tr>
      <w:tr>
        <w:tc>
          <w:tcPr>
            <w:tcW w:type="dxa" w:w="3408"/>
          </w:tcPr>
          <w:p>
            <w:r>
              <w:t>PRIV-008</w:t>
            </w:r>
          </w:p>
        </w:tc>
        <w:tc>
          <w:tcPr>
            <w:tcW w:type="dxa" w:w="3408"/>
          </w:tcPr>
          <w:p>
            <w:r>
              <w:t>Adding real or identifiable personal data shall require design and privacy review before release.</w:t>
            </w:r>
          </w:p>
        </w:tc>
        <w:tc>
          <w:tcPr>
            <w:tcW w:type="dxa" w:w="3408"/>
          </w:tcPr>
          <w:p>
            <w:r>
              <w:t>Change checklist blocks unreviewed scope expansion.</w:t>
            </w:r>
          </w:p>
        </w:tc>
      </w:tr>
    </w:tbl>
    <w:p/>
    <w:p>
      <w:pPr>
        <w:pStyle w:val="Heading1"/>
      </w:pPr>
      <w:r>
        <w:t>9.3 Additional Engineering Evidence</w:t>
      </w:r>
    </w:p>
    <w:p>
      <w:r>
        <w:t>Maintain a security architecture/trust-boundary diagram, cybersecurity risk assessment, security test report, SBOM, vulnerability management plan, privacy/data inventory, and release security review. Trace SEC and PRIV requirements to source modules, tests and documented reviews. Keep branch coverage separately reported and preserve the original ≥90% Python statement coverage gate.</w:t>
      </w:r>
    </w:p>
    <w:p>
      <w:pPr>
        <w:pStyle w:val="Heading1"/>
      </w:pPr>
      <w:r>
        <w:t>9.4 Regulatory Interpretation and References</w:t>
      </w:r>
    </w:p>
    <w:p>
      <w:r>
        <w:t>FDA: Cybersecurity in Medical Devices: Quality Management System Considerations and Content of Premarket Submissions (February 3, 2026), especially Sections IV–VII and Appendices 1–2. EU: Regulation (EU) 2016/679, particularly Articles 5, 25 and 32 where applicable. MDCG 2019-16, especially Sections 2–5. FDA guidance and MDCG guidance are nonbinding; GDPR applicability depends on actual processing of personal data. FDA Class II device context is not an IEC 62304 software safety classification. These additional controls are design targets, not evidence of certification or regulatory approval.</w:t>
      </w:r>
    </w:p>
    <w:p>
      <w:r>
        <w:br w:type="page"/>
      </w:r>
    </w:p>
    <w:p>
      <w:pPr>
        <w:pStyle w:val="Title"/>
      </w:pPr>
      <w:r>
        <w:t>CONTROLLED REVISION ADDENDUM</w:t>
      </w:r>
    </w:p>
    <w:p>
      <w:r>
        <w:t>SPMS-SRS-001 | Revision 1.2 | 10 October 2026 | Status: PROPOSED / NOT VERIFIED</w:t>
      </w:r>
    </w:p>
    <w:p>
      <w:r>
        <w:t>This addendum is the controlling revision for the design decisions below. Original material is retained for traceable review; contradictory earlier language is superseded by this addendum. Formal approval is outstanding.</w:t>
      </w:r>
    </w:p>
    <w:p>
      <w:pPr>
        <w:pStyle w:val="Heading2"/>
      </w:pPr>
      <w:r>
        <w:t>Applicability and status</w:t>
      </w:r>
    </w:p>
    <w:p>
      <w:r>
        <w:t>Educational synthetic-data-only simulator; no real patient monitoring or clinical use. FDA Class II is a hypothetical development context, not a classification determination. FDA February 2026 cybersecurity guidance and MDCG 2019-16 are guidance; GDPR is applicable only if its jurisdictional and personal-data conditions are met. IEC 62304 and ISO 14971 are reference frameworks, not verified conformities. All controls and tests remain PROPOSED / NOT VERIFIED.</w:t>
      </w:r>
    </w:p>
    <w:p>
      <w:pPr>
        <w:pStyle w:val="Heading2"/>
      </w:pPr>
      <w:r>
        <w:t>Baseline precedence</w:t>
      </w:r>
    </w:p>
    <w:p>
      <w:r>
        <w:t>This controlled revision addendum supersedes conflicting text in earlier sections of this document. Requirement changes require approval and synchronized changes to SAD, SDD, STP, risk registers and RTM. No implemented behavior, completed verification or accepted residual risk is implied.</w:t>
      </w:r>
    </w:p>
    <w:p>
      <w:pPr>
        <w:pStyle w:val="Heading2"/>
      </w:pPr>
      <w:r>
        <w:t>Common decisions CD-01 to CD-05</w:t>
      </w:r>
    </w:p>
    <w:p>
      <w:r>
        <w:t>CD-01: one backend process, one active session per simulated patient; multiworker deployment unsupported. CD-02: monitoring state is in-memory and does not automatically resume after crash; previous event records are retained if readable. CD-03: sensor disconnect and browser transport disconnect are distinct; both are visibly indicated. CD-04: alarm evaluation continues despite monitoring-event write failure, but history is flagged INCOMPLETE and write failures are recorded when feasible. CD-05: network-accessible mode requires HTTPS/WSS, authenticated operator/observer roles, backend authorization, and per-session checks; local mode binds only to 127.0.0.1 and uses a documented local operator context without network exposure.</w:t>
      </w:r>
    </w:p>
    <w:p>
      <w:pPr>
        <w:pStyle w:val="Heading2"/>
      </w:pPr>
      <w:r>
        <w:t>Clarified and additional normative requirements</w:t>
      </w:r>
    </w:p>
    <w:p>
      <w:r>
        <w:t>The following clarification IDs are part of the v1.2 controlled baseline. Existing FR-001–016, SF-001–006, AR-001–006, QA-001–008, DOC-001–006, SEC-001–016, PRIV-001–008 remain in force unless specifically clarified below.</w:t>
      </w:r>
    </w:p>
    <w:p>
      <w:pPr>
        <w:pStyle w:val="Heading2"/>
      </w:pPr>
      <w:r>
        <w:t>CL-001 — Scheduled gaps</w:t>
      </w:r>
    </w:p>
    <w:p>
      <w:r>
        <w:t>A missing scheduled SpO₂ reading interrupts consecutiveness and resets a pending activation or recovery counter; it does not clear an active alarm. A missed tick is detected using the deterministic simulation scheduler; the event is logged if storage is available. Verify low-low-gap-low does not activate, and recovery-recovery-gap-recovery does not clear.</w:t>
      </w:r>
    </w:p>
    <w:p>
      <w:pPr>
        <w:pStyle w:val="Heading2"/>
      </w:pPr>
      <w:r>
        <w:t>CL-002 — Rejection classes</w:t>
      </w:r>
    </w:p>
    <w:p>
      <w:r>
        <w:t>Invalid physiological value, missing SpO₂ value, or malformed/missing measurement timestamp resets the applicable pending count; a duplicate/out-of-order timestamp, wrong session, or unauthorized input is rejected without changing alarm counters. None overwrite last accepted data. Each rejection is classified and tested.</w:t>
      </w:r>
    </w:p>
    <w:p>
      <w:pPr>
        <w:pStyle w:val="Heading2"/>
      </w:pPr>
      <w:r>
        <w:t>CL-003 — Time and transport</w:t>
      </w:r>
    </w:p>
    <w:p>
      <w:r>
        <w:t>The backend uses a monotonic clock for 5-second staleness and simulation deadlines, and UTC timestamps for records. At 5.000 s a reading is CURRENT; at &gt;5.000 s it is STALE. UI delivery ≤1 second applies only while the authenticated browser connection is healthy under the specified controlled test environment; transport loss produces an immediate connection-uncertain indicator on detection.</w:t>
      </w:r>
    </w:p>
    <w:p>
      <w:pPr>
        <w:pStyle w:val="Heading2"/>
      </w:pPr>
      <w:r>
        <w:t>CL-004 — Restart</w:t>
      </w:r>
    </w:p>
    <w:p>
      <w:r>
        <w:t>Unexpected restart never resumes an old monitoring session or alarm episode automatically. UI shows monitoring stopped/restart detected; preserved event history is accessible only if storage is healthy; new session must be explicitly started. Verify with forced process termination and restart.</w:t>
      </w:r>
    </w:p>
    <w:p>
      <w:pPr>
        <w:pStyle w:val="Heading2"/>
      </w:pPr>
      <w:r>
        <w:t>CL-005 — Persistence failure</w:t>
      </w:r>
    </w:p>
    <w:p>
      <w:r>
        <w:t>A monitoring-event write failure does not block alarm evaluation. The backend exposes event_storage_status=FAILED and history_completeness=INCOMPLETE; a subsequent successful write may restore write-health but must not claim that missing events were recovered. Verify failure and recovery behavior.</w:t>
      </w:r>
    </w:p>
    <w:p>
      <w:pPr>
        <w:pStyle w:val="Heading2"/>
      </w:pPr>
      <w:r>
        <w:t>CL-006 — Security audit failure</w:t>
      </w:r>
    </w:p>
    <w:p>
      <w:r>
        <w:t>Network-mode operator commands that require accountable audit records (start/stop, acknowledge, sensor manipulation, security configuration) fail closed if the audit sink cannot accept a durable record, except an already-running sensor tick and automatic alarm evaluation must continue. The command response indicates failure without falsely reporting success; test audit-sink fault injection.</w:t>
      </w:r>
    </w:p>
    <w:p>
      <w:pPr>
        <w:pStyle w:val="Heading2"/>
      </w:pPr>
      <w:r>
        <w:t>CL-007 — Local/network roles</w:t>
      </w:r>
    </w:p>
    <w:p>
      <w:r>
        <w:t>Local mode: bind 127.0.0.1 only; one explicit local-operator context, no remote access, visible mode banner; tests confirm external bind disabled. Network mode: secure authentication, Observer read-only, Operator authorized to start/stop/acknowledge and simulate sensor faults, session-level authorization for REST and WebSocket, origin and session checks, credential expiry/revocation handling.</w:t>
      </w:r>
    </w:p>
    <w:p>
      <w:pPr>
        <w:pStyle w:val="Heading2"/>
      </w:pPr>
      <w:r>
        <w:t>CL-008 — State synchronization</w:t>
      </w:r>
    </w:p>
    <w:p>
      <w:r>
        <w:t>Every authoritative state snapshot includes session_id, revision, server timestamp, sensor status, connection-independent data freshness, alarm episode/state, storage health and history completeness. Revision increases for each accepted mutation; clients discard older revisions and GET a fresh snapshot after reconnection.</w:t>
      </w:r>
    </w:p>
    <w:p>
      <w:pPr>
        <w:pStyle w:val="Heading2"/>
      </w:pPr>
      <w:r>
        <w:t>CL-009 — Measurable timing</w:t>
      </w:r>
    </w:p>
    <w:p>
      <w:r>
        <w:t>In deterministic scheduler tests, a 10-second active simulation emits 10 scheduled sets, with exact fake-clock ticks. In controlled local browser integration tests, 95% of accepted readings must render within 1.0 second of backend acceptance with no injected delay; all timing exceptions are logged and reviewed. This is a project target, not clinical performance validation.</w:t>
      </w:r>
    </w:p>
    <w:p>
      <w:pPr>
        <w:pStyle w:val="Heading2"/>
      </w:pPr>
      <w:r>
        <w:t>CL-010 — Privacy inventory</w:t>
      </w:r>
    </w:p>
    <w:p>
      <w:r>
        <w:t>Record each processed field (including account ID, IP address, timestamps, audit metadata), purpose, access, retention, deletion and applicable jurisdiction. Synthetic physiological data alone does not establish GDPR non-applicability. No real patient identifiers or patient data may enter test fixtures or production simulation.</w:t>
      </w:r>
    </w:p>
    <w:p>
      <w:pPr>
        <w:pStyle w:val="Heading2"/>
      </w:pPr>
      <w:r>
        <w:t>CL-011 — Controlled release</w:t>
      </w:r>
    </w:p>
    <w:p>
      <w:r>
        <w:t>A release requires approved requirement baseline, mapped hazard and cybersecurity controls, documented test outcomes, vulnerability dispositions, SBOM for exact locked dependencies, signed-off open anomalies and evidence tied to a source revision. This requirement defines a release gate; no release is yet approved.</w:t>
      </w:r>
    </w:p>
    <w:p>
      <w:pPr>
        <w:pStyle w:val="Heading2"/>
      </w:pPr>
      <w:r>
        <w:t>CL-012 — Design authority</w:t>
      </w:r>
    </w:p>
    <w:p>
      <w:r>
        <w:t>All unresolved choices in prior design drafts are resolved by CL-001–CL-011 for the educational baseline. Changes to these decisions require change-control review and impact analysis across risk, tests, and design.</w:t>
      </w:r>
    </w:p>
    <w:p>
      <w:pPr>
        <w:pStyle w:val="Heading2"/>
      </w:pPr>
      <w:r>
        <w:t>Approval and evidence status</w:t>
      </w:r>
    </w:p>
    <w:p>
      <w:r>
        <w:t>Prepared for mentor/engineering review. Owner approval: PENDING. Implementation: NOT STARTED. Verification: NOT RUN. Risk acceptance: NOT ASSESSED. Regulatory conformity: NOT CLAIMED.</w:t>
      </w:r>
    </w:p>
    <w:sectPr w:rsidR="0024547B" w:rsidSect="00034616">
      <w:footerReference w:type="default" r:id="rId8"/>
      <w:headerReference w:type="default" r:id="rId11"/>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70DFD" w14:textId="77777777" w:rsidR="00AB348C" w:rsidRDefault="00AB348C">
      <w:pPr>
        <w:spacing w:after="0" w:line="240" w:lineRule="auto"/>
      </w:pPr>
      <w:r>
        <w:separator/>
      </w:r>
    </w:p>
  </w:endnote>
  <w:endnote w:type="continuationSeparator" w:id="0">
    <w:p w14:paraId="3C0E8251" w14:textId="77777777" w:rsidR="00AB348C" w:rsidRDefault="00AB3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C7673" w14:textId="77777777" w:rsidR="0024547B" w:rsidRDefault="00000000">
    <w:pPr>
      <w:pStyle w:val="Footer"/>
      <w:jc w:val="right"/>
    </w:pPr>
    <w:r>
      <w:rPr>
        <w:sz w:val="18"/>
      </w:rPr>
      <w:t xml:space="preserve">Simulated Patient </w:t>
    </w:r>
    <w:proofErr w:type="gramStart"/>
    <w:r>
      <w:rPr>
        <w:sz w:val="18"/>
      </w:rPr>
      <w:t>Monitoring  |</w:t>
    </w:r>
    <w:proofErr w:type="gramEnd"/>
    <w:r>
      <w:rPr>
        <w:sz w:val="18"/>
      </w:rPr>
      <w:t xml:space="preserve">  </w:t>
    </w:r>
    <w:r>
      <w:fldChar w:fldCharType="begin"/>
    </w:r>
    <w:r>
      <w:instrText>PAGE</w:instrText>
    </w:r>
    <w:r>
      <w:fldChar w:fldCharType="separate"/>
    </w:r>
    <w:r w:rsidR="00485FF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8F318" w14:textId="77777777" w:rsidR="00AB348C" w:rsidRDefault="00AB348C">
      <w:pPr>
        <w:spacing w:after="0" w:line="240" w:lineRule="auto"/>
      </w:pPr>
      <w:r>
        <w:separator/>
      </w:r>
    </w:p>
  </w:footnote>
  <w:footnote w:type="continuationSeparator" w:id="0">
    <w:p w14:paraId="23DFF0F2" w14:textId="77777777" w:rsidR="00AB348C" w:rsidRDefault="00AB348C">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SPMS | CONTROLLED ENGINEERING DRAFT | NOT VERIFIED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3361614">
    <w:abstractNumId w:val="8"/>
  </w:num>
  <w:num w:numId="2" w16cid:durableId="1151406741">
    <w:abstractNumId w:val="6"/>
  </w:num>
  <w:num w:numId="3" w16cid:durableId="428819095">
    <w:abstractNumId w:val="5"/>
  </w:num>
  <w:num w:numId="4" w16cid:durableId="2052533494">
    <w:abstractNumId w:val="4"/>
  </w:num>
  <w:num w:numId="5" w16cid:durableId="24062390">
    <w:abstractNumId w:val="7"/>
  </w:num>
  <w:num w:numId="6" w16cid:durableId="1501264361">
    <w:abstractNumId w:val="3"/>
  </w:num>
  <w:num w:numId="7" w16cid:durableId="366755092">
    <w:abstractNumId w:val="2"/>
  </w:num>
  <w:num w:numId="8" w16cid:durableId="1746150397">
    <w:abstractNumId w:val="1"/>
  </w:num>
  <w:num w:numId="9" w16cid:durableId="1288045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547B"/>
    <w:rsid w:val="0029639D"/>
    <w:rsid w:val="00326F90"/>
    <w:rsid w:val="00485FF1"/>
    <w:rsid w:val="006B6DE7"/>
    <w:rsid w:val="00AA1D8D"/>
    <w:rsid w:val="00AB348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67EFAC"/>
  <w14:defaultImageDpi w14:val="300"/>
  <w15:docId w15:val="{F7164330-601A-413D-9ECE-A0B1388BB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Aptos" w:hAnsi="Aptos"/>
      <w:color w:val="000000"/>
      <w:sz w:val="18"/>
    </w:rPr>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1603</Words>
  <Characters>9143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Simulated Patient Monitoring Software Requirements</dc:title>
  <dc:subject>Educational software requirements and acceptance criteria</dc:subject>
  <dc:creator>Michael Mart</dc:creator>
  <cp:keywords/>
  <dc:description>generated by python-docx</dc:description>
  <cp:lastModifiedBy>Michael Mart</cp:lastModifiedBy>
  <cp:revision>2</cp:revision>
  <dcterms:created xsi:type="dcterms:W3CDTF">2026-10-05T19:05:00Z</dcterms:created>
  <dcterms:modified xsi:type="dcterms:W3CDTF">2026-10-05T19:05:00Z</dcterms:modified>
  <cp:category/>
</cp:coreProperties>
</file>