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jc w:val="left"/>
      </w:pPr>
      <w:bookmarkStart w:id="0" w:name="_qjcixnyq8l55" w:colFirst="0" w:colLast="0"/>
      <w:bookmarkEnd w:id="0"/>
    </w:p>
    <w:p>
      <w:pPr>
        <w:pStyle w:val="10"/>
        <w:rPr>
          <w:rFonts w:hint="default" w:eastAsia="宋体"/>
          <w:lang w:val="en-US" w:eastAsia="zh-CN"/>
        </w:rPr>
      </w:pPr>
      <w:bookmarkStart w:id="1" w:name="_br7xy3k6als5" w:colFirst="0" w:colLast="0"/>
      <w:bookmarkEnd w:id="1"/>
      <w:bookmarkStart w:id="2" w:name="_2eg4y5a0vwio" w:colFirst="0" w:colLast="0"/>
      <w:bookmarkEnd w:id="2"/>
      <w:r>
        <w:rPr>
          <w:rtl w:val="0"/>
        </w:rPr>
        <w:t>Ceph</w:t>
      </w:r>
      <w:r>
        <w:rPr>
          <w:rFonts w:hint="eastAsia" w:eastAsia="宋体"/>
          <w:rtl w:val="0"/>
          <w:lang w:val="en-US" w:eastAsia="zh-CN"/>
        </w:rPr>
        <w:t>硬件指导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sdt>
      <w:sdtPr>
        <w:rPr>
          <w:rFonts w:ascii="宋体" w:hAnsi="宋体" w:eastAsia="宋体" w:cs="Calibri"/>
          <w:sz w:val="21"/>
          <w:szCs w:val="22"/>
          <w:lang w:val="en"/>
        </w:rPr>
        <w:id w:val="147469430"/>
        <w15:color w:val="DBDBDB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sz w:val="22"/>
          <w:szCs w:val="22"/>
          <w:lang w:val="e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_Toc15303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Ceph硬件选择的一般性原则</w:t>
          </w:r>
          <w:r>
            <w:tab/>
          </w:r>
          <w:r>
            <w:fldChar w:fldCharType="begin"/>
          </w:r>
          <w:r>
            <w:instrText xml:space="preserve"> PAGEREF _Toc15303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_Toc18432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供电模块</w:t>
          </w:r>
          <w:r>
            <w:tab/>
          </w:r>
          <w:r>
            <w:fldChar w:fldCharType="begin"/>
          </w:r>
          <w:r>
            <w:instrText xml:space="preserve"> PAGEREF _Toc18432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_Toc22119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网络配置</w:t>
          </w:r>
          <w:r>
            <w:tab/>
          </w:r>
          <w:r>
            <w:fldChar w:fldCharType="begin"/>
          </w:r>
          <w:r>
            <w:instrText xml:space="preserve"> PAGEREF _Toc22119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_Toc30382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服务器网络配置</w:t>
          </w:r>
          <w:r>
            <w:tab/>
          </w:r>
          <w:r>
            <w:fldChar w:fldCharType="begin"/>
          </w:r>
          <w:r>
            <w:instrText xml:space="preserve"> PAGEREF _Toc30382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机柜网络配置</w:t>
          </w:r>
          <w:r>
            <w:tab/>
          </w:r>
          <w:r>
            <w:fldChar w:fldCharType="begin"/>
          </w:r>
          <w:r>
            <w:instrText xml:space="preserve"> PAGEREF _Toc17749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_Toc21786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跨机柜网络配置</w:t>
          </w:r>
          <w:r>
            <w:tab/>
          </w:r>
          <w:r>
            <w:fldChar w:fldCharType="begin"/>
          </w:r>
          <w:r>
            <w:instrText xml:space="preserve"> PAGEREF _Toc21786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_Toc21519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MTU</w:t>
          </w:r>
          <w:r>
            <w:tab/>
          </w:r>
          <w:r>
            <w:fldChar w:fldCharType="begin"/>
          </w:r>
          <w:r>
            <w:instrText xml:space="preserve"> PAGEREF _Toc21519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_Toc10261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磁盘控制器</w:t>
          </w:r>
          <w:r>
            <w:tab/>
          </w:r>
          <w:r>
            <w:fldChar w:fldCharType="begin"/>
          </w:r>
          <w:r>
            <w:instrText xml:space="preserve"> PAGEREF _Toc10261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_Toc26177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服务器盘符保持一致</w:t>
          </w:r>
          <w:r>
            <w:tab/>
          </w:r>
          <w:r>
            <w:fldChar w:fldCharType="begin"/>
          </w:r>
          <w:r>
            <w:instrText xml:space="preserve"> PAGEREF _Toc26177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_Toc13879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rhel操作系统中的盘符保持一致</w:t>
          </w:r>
          <w:r>
            <w:tab/>
          </w:r>
          <w:r>
            <w:fldChar w:fldCharType="begin"/>
          </w:r>
          <w:r>
            <w:instrText xml:space="preserve"> PAGEREF _Toc13879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数据盘建议做成lvm以对应盘符变化</w:t>
          </w:r>
          <w:r>
            <w:tab/>
          </w:r>
          <w:r>
            <w:fldChar w:fldCharType="begin"/>
          </w:r>
          <w:r>
            <w:instrText xml:space="preserve"> PAGEREF _Toc15191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_Toc20387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服务高可用和数据冗余容灾设计</w:t>
          </w:r>
          <w:r>
            <w:tab/>
          </w:r>
          <w:r>
            <w:fldChar w:fldCharType="begin"/>
          </w:r>
          <w:r>
            <w:instrText xml:space="preserve"> PAGEREF _Toc20387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osd数据冗余</w:t>
          </w:r>
          <w:r>
            <w:tab/>
          </w:r>
          <w:r>
            <w:fldChar w:fldCharType="begin"/>
          </w:r>
          <w:r>
            <w:instrText xml:space="preserve"> PAGEREF _Toc24486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_Toc24854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服务冗余</w:t>
          </w:r>
          <w:r>
            <w:tab/>
          </w:r>
          <w:r>
            <w:fldChar w:fldCharType="begin"/>
          </w:r>
          <w:r>
            <w:instrText xml:space="preserve"> PAGEREF _Toc24854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mon服务</w:t>
          </w:r>
          <w:r>
            <w:tab/>
          </w:r>
          <w:r>
            <w:fldChar w:fldCharType="begin"/>
          </w:r>
          <w:r>
            <w:instrText xml:space="preserve"> PAGEREF _Toc16336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_Toc21553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mds服务</w:t>
          </w:r>
          <w:r>
            <w:tab/>
          </w:r>
          <w:r>
            <w:fldChar w:fldCharType="begin"/>
          </w:r>
          <w:r>
            <w:instrText xml:space="preserve"> PAGEREF _Toc21553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_Toc14416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rgw服务</w:t>
          </w:r>
          <w:r>
            <w:tab/>
          </w:r>
          <w:r>
            <w:fldChar w:fldCharType="begin"/>
          </w:r>
          <w:r>
            <w:instrText xml:space="preserve"> PAGEREF _Toc14416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_Toc20323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mon,rgw,mds服务部署在osd服务器上所需硬件资源</w:t>
          </w:r>
          <w:r>
            <w:tab/>
          </w:r>
          <w:r>
            <w:fldChar w:fldCharType="begin"/>
          </w:r>
          <w:r>
            <w:instrText xml:space="preserve"> PAGEREF _Toc20323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mon, rgw, mds单独物理机部署推荐硬件配置参考</w:t>
          </w:r>
          <w:r>
            <w:tab/>
          </w:r>
          <w:r>
            <w:fldChar w:fldCharType="begin"/>
          </w:r>
          <w:r>
            <w:instrText xml:space="preserve"> PAGEREF _Toc2634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_Toc14817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mon节点</w:t>
          </w:r>
          <w:r>
            <w:tab/>
          </w:r>
          <w:r>
            <w:fldChar w:fldCharType="begin"/>
          </w:r>
          <w:r>
            <w:instrText xml:space="preserve"> PAGEREF _Toc14817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_Toc10272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rgw节点</w:t>
          </w:r>
          <w:r>
            <w:tab/>
          </w:r>
          <w:r>
            <w:fldChar w:fldCharType="begin"/>
          </w:r>
          <w:r>
            <w:instrText xml:space="preserve"> PAGEREF _Toc10272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mds节点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osd硬件配置分为性能型，吞吐型，成本容量型</w:t>
          </w:r>
          <w:r>
            <w:tab/>
          </w:r>
          <w:r>
            <w:fldChar w:fldCharType="begin"/>
          </w:r>
          <w:r>
            <w:instrText xml:space="preserve"> PAGEREF _Toc8019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_Toc32413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操作系统版本与Ceph版本对应关系</w:t>
          </w:r>
          <w:r>
            <w:tab/>
          </w:r>
          <w:r>
            <w:fldChar w:fldCharType="begin"/>
          </w:r>
          <w:r>
            <w:instrText xml:space="preserve"> PAGEREF _Toc32413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_Toc21170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Ceph集群规模限制</w:t>
          </w:r>
          <w:r>
            <w:tab/>
          </w:r>
          <w:r>
            <w:fldChar w:fldCharType="begin"/>
          </w:r>
          <w:r>
            <w:instrText xml:space="preserve"> PAGEREF _Toc21170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_Toc21959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高性能型Ceph集群配置推荐</w:t>
          </w:r>
          <w:r>
            <w:tab/>
          </w:r>
          <w:r>
            <w:fldChar w:fldCharType="begin"/>
          </w:r>
          <w:r>
            <w:instrText xml:space="preserve"> PAGEREF _Toc21959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_Toc3834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硬件配置的目标</w:t>
          </w:r>
          <w:r>
            <w:tab/>
          </w:r>
          <w:r>
            <w:fldChar w:fldCharType="begin"/>
          </w:r>
          <w:r>
            <w:instrText xml:space="preserve"> PAGEREF _Toc3834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_Toc6848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典型应用场景</w:t>
          </w:r>
          <w:r>
            <w:tab/>
          </w:r>
          <w:r>
            <w:fldChar w:fldCharType="begin"/>
          </w:r>
          <w:r>
            <w:instrText xml:space="preserve"> PAGEREF _Toc6848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硬件规格</w:t>
          </w:r>
          <w:r>
            <w:tab/>
          </w:r>
          <w:r>
            <w:fldChar w:fldCharType="begin"/>
          </w:r>
          <w:r>
            <w:instrText xml:space="preserve"> PAGEREF _Toc5438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联合测试产商</w:t>
          </w:r>
          <w:r>
            <w:tab/>
          </w:r>
          <w:r>
            <w:fldChar w:fldCharType="begin"/>
          </w:r>
          <w:r>
            <w:instrText xml:space="preserve"> PAGEREF _Toc16517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_Toc20953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超微服务器sku与Ceph集群规模的大小</w:t>
          </w:r>
          <w:r>
            <w:tab/>
          </w:r>
          <w:r>
            <w:fldChar w:fldCharType="begin"/>
          </w:r>
          <w:r>
            <w:instrText xml:space="preserve"> PAGEREF _Toc20953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_Toc31250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高吞吐量型Ceph集群配置推荐</w:t>
          </w:r>
          <w:r>
            <w:tab/>
          </w:r>
          <w:r>
            <w:fldChar w:fldCharType="begin"/>
          </w:r>
          <w:r>
            <w:instrText xml:space="preserve"> PAGEREF _Toc31250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_Toc27580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硬件配置的目标</w:t>
          </w:r>
          <w:r>
            <w:tab/>
          </w:r>
          <w:r>
            <w:fldChar w:fldCharType="begin"/>
          </w:r>
          <w:r>
            <w:instrText xml:space="preserve"> PAGEREF _Toc27580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_Toc6889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典型应用场景</w:t>
          </w:r>
          <w:r>
            <w:tab/>
          </w:r>
          <w:r>
            <w:fldChar w:fldCharType="begin"/>
          </w:r>
          <w:r>
            <w:instrText xml:space="preserve"> PAGEREF _Toc6889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硬件规格</w:t>
          </w:r>
          <w:r>
            <w:tab/>
          </w:r>
          <w:r>
            <w:fldChar w:fldCharType="begin"/>
          </w:r>
          <w:r>
            <w:instrText xml:space="preserve"> PAGEREF _Toc30546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联合测试产商</w:t>
          </w:r>
          <w:r>
            <w:tab/>
          </w:r>
          <w:r>
            <w:fldChar w:fldCharType="begin"/>
          </w:r>
          <w:r>
            <w:instrText xml:space="preserve"> PAGEREF _Toc250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Ceph集群规模大小与机架sku</w:t>
          </w:r>
          <w:r>
            <w:tab/>
          </w:r>
          <w:r>
            <w:fldChar w:fldCharType="begin"/>
          </w:r>
          <w:r>
            <w:instrText xml:space="preserve"> PAGEREF _Toc12620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_Toc31398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Ceph集群规模大小与服务器sku</w:t>
          </w:r>
          <w:r>
            <w:tab/>
          </w:r>
          <w:r>
            <w:fldChar w:fldCharType="begin"/>
          </w:r>
          <w:r>
            <w:instrText xml:space="preserve"> PAGEREF _Toc31398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其他厂家服务器型号与Ceph集群</w:t>
          </w:r>
          <w:r>
            <w:tab/>
          </w:r>
          <w:r>
            <w:fldChar w:fldCharType="begin"/>
          </w:r>
          <w:r>
            <w:instrText xml:space="preserve"> PAGEREF _Toc2328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_Toc29167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节约成本容量型Ceph集群配置推荐</w:t>
          </w:r>
          <w:r>
            <w:tab/>
          </w:r>
          <w:r>
            <w:fldChar w:fldCharType="begin"/>
          </w:r>
          <w:r>
            <w:instrText xml:space="preserve"> PAGEREF _Toc29167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硬件配置的目标</w:t>
          </w:r>
          <w:r>
            <w:tab/>
          </w:r>
          <w:r>
            <w:fldChar w:fldCharType="begin"/>
          </w:r>
          <w:r>
            <w:instrText xml:space="preserve"> PAGEREF _Toc16340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_Toc11797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典型应用场景</w:t>
          </w:r>
          <w:r>
            <w:tab/>
          </w:r>
          <w:r>
            <w:fldChar w:fldCharType="begin"/>
          </w:r>
          <w:r>
            <w:instrText xml:space="preserve"> PAGEREF _Toc11797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_Toc18417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硬件规格</w:t>
          </w:r>
          <w:r>
            <w:tab/>
          </w:r>
          <w:r>
            <w:fldChar w:fldCharType="begin"/>
          </w:r>
          <w:r>
            <w:instrText xml:space="preserve"> PAGEREF _Toc18417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联合测试产商</w:t>
          </w:r>
          <w:r>
            <w:tab/>
          </w:r>
          <w:r>
            <w:fldChar w:fldCharType="begin"/>
          </w:r>
          <w:r>
            <w:instrText xml:space="preserve"> PAGEREF _Toc18224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_Toc13035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Ceph集群大小与</w:t>
          </w:r>
          <w:r>
            <w:rPr>
              <w:rFonts w:hint="default"/>
            </w:rPr>
            <w:t>机架级</w:t>
          </w:r>
          <w:r>
            <w:rPr>
              <w:rFonts w:hint="eastAsia"/>
              <w:lang w:val="en-US" w:eastAsia="zh-CN"/>
            </w:rPr>
            <w:t>sku</w:t>
          </w:r>
          <w:r>
            <w:tab/>
          </w:r>
          <w:r>
            <w:fldChar w:fldCharType="begin"/>
          </w:r>
          <w:r>
            <w:instrText xml:space="preserve"> PAGEREF _Toc13035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Ceph集群大小</w:t>
          </w:r>
          <w:r>
            <w:rPr>
              <w:rFonts w:hint="default"/>
            </w:rPr>
            <w:t>服务器 SKU</w:t>
          </w:r>
          <w:r>
            <w:tab/>
          </w:r>
          <w:r>
            <w:fldChar w:fldCharType="begin"/>
          </w:r>
          <w:r>
            <w:instrText xml:space="preserve"> PAGEREF _Toc903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Ceph集群规模与其他供应商的服务器sku</w:t>
          </w:r>
          <w:r>
            <w:tab/>
          </w:r>
          <w:r>
            <w:fldChar w:fldCharType="begin"/>
          </w:r>
          <w:r>
            <w:instrText xml:space="preserve"> PAGEREF _Toc9659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一些硬件产商与红帽Ceph联合测试文档</w:t>
          </w:r>
          <w:r>
            <w:tab/>
          </w:r>
          <w:r>
            <w:fldChar w:fldCharType="begin"/>
          </w:r>
          <w:r>
            <w:instrText xml:space="preserve"> PAGEREF _Toc21685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_Toc20982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物理机部署ceph最低硬件配置要求</w:t>
          </w:r>
          <w:r>
            <w:tab/>
          </w:r>
          <w:r>
            <w:fldChar w:fldCharType="begin"/>
          </w:r>
          <w:r>
            <w:instrText xml:space="preserve"> PAGEREF _Toc20982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_Toc6873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容器化部署ceph最低硬件配置要求</w:t>
          </w:r>
          <w:r>
            <w:tab/>
          </w:r>
          <w:r>
            <w:fldChar w:fldCharType="begin"/>
          </w:r>
          <w:r>
            <w:instrText xml:space="preserve"> PAGEREF _Toc6873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_Toc8365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dashboard硬件最低要求</w:t>
          </w:r>
          <w:r>
            <w:tab/>
          </w:r>
          <w:r>
            <w:fldChar w:fldCharType="begin"/>
          </w:r>
          <w:r>
            <w:instrText xml:space="preserve"> PAGEREF _Toc8365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/>
    <w:p>
      <w:pPr>
        <w:spacing w:before="240" w:after="240" w:line="276" w:lineRule="auto"/>
        <w:jc w:val="left"/>
        <w:rPr>
          <w:rFonts w:ascii="Arial" w:hAnsi="Arial" w:eastAsia="Arial" w:cs="Arial"/>
          <w:sz w:val="44"/>
          <w:szCs w:val="44"/>
        </w:rPr>
      </w:pPr>
      <w:bookmarkStart w:id="3" w:name="_bo611gicfa1l" w:colFirst="0" w:colLast="0"/>
      <w:bookmarkEnd w:id="3"/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0321"/>
      <w:bookmarkStart w:id="5" w:name="_Toc15303"/>
      <w:bookmarkStart w:id="6" w:name="_Toc6373"/>
      <w:r>
        <w:rPr>
          <w:rFonts w:hint="eastAsia"/>
          <w:lang w:val="en-US" w:eastAsia="zh-CN"/>
        </w:rPr>
        <w:t>Ceph硬件选择的一般性原则</w:t>
      </w:r>
      <w:bookmarkEnd w:id="4"/>
      <w:bookmarkEnd w:id="5"/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3851"/>
      <w:bookmarkStart w:id="8" w:name="_Toc18432"/>
      <w:bookmarkStart w:id="9" w:name="_Toc10481"/>
      <w:r>
        <w:rPr>
          <w:rFonts w:hint="eastAsia"/>
          <w:lang w:val="en-US" w:eastAsia="zh-CN"/>
        </w:rPr>
        <w:t>供电模块</w:t>
      </w:r>
      <w:bookmarkEnd w:id="7"/>
      <w:bookmarkEnd w:id="8"/>
      <w:bookmarkEnd w:id="9"/>
    </w:p>
    <w:p>
      <w:r>
        <w:rPr>
          <w:rFonts w:hint="eastAsia"/>
        </w:rPr>
        <w:t>所有生产环境下的单台服务器需要满足最少2路电力供应，同时提供UPS，在发生异常掉电场景下，</w:t>
      </w:r>
      <w:r>
        <w:rPr>
          <w:rFonts w:hint="eastAsia" w:eastAsia="宋体"/>
          <w:lang w:val="en-US" w:eastAsia="zh-CN"/>
        </w:rPr>
        <w:t>UPS</w:t>
      </w:r>
      <w:r>
        <w:rPr>
          <w:rFonts w:hint="eastAsia"/>
        </w:rPr>
        <w:t>最少能够提供30~60分钟的应急电力供应，以保障工程师在紧急情况下完成业务的转移或切换。</w:t>
      </w:r>
    </w:p>
    <w:p/>
    <w:p>
      <w:r>
        <w:drawing>
          <wp:inline distT="0" distB="0" distL="0" distR="0">
            <wp:extent cx="5274310" cy="1399540"/>
            <wp:effectExtent l="0" t="0" r="254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3368"/>
      <w:bookmarkStart w:id="11" w:name="_Toc1870"/>
      <w:bookmarkStart w:id="12" w:name="_Toc22119"/>
      <w:r>
        <w:rPr>
          <w:rFonts w:hint="eastAsia"/>
          <w:lang w:val="en-US" w:eastAsia="zh-CN"/>
        </w:rPr>
        <w:t>网络配置</w:t>
      </w:r>
      <w:bookmarkEnd w:id="10"/>
      <w:bookmarkEnd w:id="11"/>
      <w:bookmarkEnd w:id="12"/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30382"/>
      <w:bookmarkStart w:id="14" w:name="_Toc15183"/>
      <w:r>
        <w:rPr>
          <w:rFonts w:hint="eastAsia"/>
          <w:lang w:val="en-US" w:eastAsia="zh-CN"/>
        </w:rPr>
        <w:t>服务器网络配置</w:t>
      </w:r>
      <w:bookmarkEnd w:id="13"/>
      <w:bookmarkEnd w:id="14"/>
    </w:p>
    <w:p>
      <w:r>
        <w:rPr>
          <w:rFonts w:hint="eastAsia" w:eastAsia="宋体"/>
          <w:lang w:val="en-US" w:eastAsia="zh-CN"/>
        </w:rPr>
        <w:t>服务器</w:t>
      </w:r>
      <w:r>
        <w:rPr>
          <w:rFonts w:hint="eastAsia"/>
        </w:rPr>
        <w:t>需要同时接入业务网（public</w:t>
      </w:r>
      <w:r>
        <w:rPr>
          <w:rFonts w:hint="eastAsia" w:eastAsia="宋体"/>
          <w:lang w:val="en-US" w:eastAsia="zh-CN"/>
        </w:rPr>
        <w:t>_</w:t>
      </w:r>
      <w:r>
        <w:rPr>
          <w:rFonts w:hint="eastAsia"/>
        </w:rPr>
        <w:t>network）和存储网（cluster</w:t>
      </w:r>
      <w:r>
        <w:rPr>
          <w:rFonts w:hint="eastAsia" w:eastAsia="宋体"/>
          <w:lang w:val="en-US" w:eastAsia="zh-CN"/>
        </w:rPr>
        <w:t>_</w:t>
      </w:r>
      <w:r>
        <w:rPr>
          <w:rFonts w:hint="eastAsia"/>
        </w:rPr>
        <w:t>network） 两路网络</w:t>
      </w:r>
      <w:r>
        <w:t>(</w:t>
      </w:r>
      <w:r>
        <w:rPr>
          <w:rFonts w:hint="eastAsia"/>
        </w:rPr>
        <w:t>有安全需求可以做VLAN隔离)，每组网络</w:t>
      </w:r>
      <w:r>
        <w:rPr>
          <w:rFonts w:hint="eastAsia" w:eastAsia="宋体"/>
          <w:lang w:val="en-US" w:eastAsia="zh-CN"/>
        </w:rPr>
        <w:t>推荐</w:t>
      </w:r>
      <w:r>
        <w:rPr>
          <w:rFonts w:hint="eastAsia"/>
        </w:rPr>
        <w:t>提供≥10Gbps的网络带</w:t>
      </w:r>
      <w:r>
        <w:rPr>
          <w:rFonts w:hint="eastAsia" w:ascii="Calibri" w:hAnsi="Calibri" w:eastAsia="Calibri" w:cs="Calibri"/>
        </w:rPr>
        <w:t>宽，同</w:t>
      </w:r>
      <w:r>
        <w:rPr>
          <w:rFonts w:hint="eastAsia"/>
        </w:rPr>
        <w:t>时考虑到网络冗余，每路网络最好能够提供</w:t>
      </w:r>
      <w:r>
        <w:rPr>
          <w:rFonts w:hint="eastAsia" w:eastAsia="宋体"/>
          <w:lang w:val="en-US" w:eastAsia="zh-CN"/>
        </w:rPr>
        <w:t xml:space="preserve">LACP </w:t>
      </w:r>
      <w:r>
        <w:rPr>
          <w:rFonts w:hint="eastAsia"/>
        </w:rPr>
        <w:t>Bonding</w:t>
      </w:r>
      <w:r>
        <w:t>(mode=4),</w:t>
      </w:r>
      <w:r>
        <w:rPr>
          <w:rFonts w:hint="eastAsia"/>
        </w:rPr>
        <w:t>注意服务器Bond上级联到两台交换机，避免单交换机故障导致网络中断。如下图所示</w:t>
      </w:r>
    </w:p>
    <w:p>
      <w:pPr>
        <w:ind w:left="0" w:firstLine="0"/>
      </w:pPr>
      <w:r>
        <w:drawing>
          <wp:inline distT="0" distB="0" distL="0" distR="0">
            <wp:extent cx="4150360" cy="2588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976" cy="25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22962"/>
      <w:bookmarkStart w:id="16" w:name="_Toc17749"/>
      <w:r>
        <w:rPr>
          <w:rFonts w:hint="eastAsia"/>
          <w:lang w:val="en-US" w:eastAsia="zh-CN"/>
        </w:rPr>
        <w:t>机柜网络配置</w:t>
      </w:r>
      <w:bookmarkEnd w:id="15"/>
      <w:bookmarkEnd w:id="16"/>
    </w:p>
    <w:p>
      <w:r>
        <w:rPr>
          <w:rFonts w:hint="eastAsia"/>
        </w:rPr>
        <w:t>单机柜内每台节点需要同时接入存储网和业务网交换机，具体网络接线图如下</w:t>
      </w:r>
    </w:p>
    <w:p>
      <w:pPr>
        <w:ind w:left="0" w:firstLine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9155" cy="4267835"/>
            <wp:effectExtent l="0" t="0" r="4445" b="18415"/>
            <wp:docPr id="2" name="图片 2" descr="16430391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303910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31682"/>
      <w:bookmarkStart w:id="18" w:name="_Toc21786"/>
      <w:r>
        <w:rPr>
          <w:rFonts w:hint="eastAsia"/>
          <w:lang w:val="en-US" w:eastAsia="zh-CN"/>
        </w:rPr>
        <w:t>跨机柜网络配置</w:t>
      </w:r>
      <w:bookmarkEnd w:id="17"/>
      <w:bookmarkEnd w:id="18"/>
    </w:p>
    <w:p>
      <w:r>
        <w:rPr>
          <w:rFonts w:hint="eastAsia"/>
        </w:rPr>
        <w:t xml:space="preserve">在单个Ceph集群内，跨机柜之间的交换机级联需要满足最少≥80Gbps </w:t>
      </w:r>
      <w:r>
        <w:t>(</w:t>
      </w:r>
      <w:r>
        <w:rPr>
          <w:rFonts w:hint="eastAsia"/>
        </w:rPr>
        <w:t>40Gbps x 2</w:t>
      </w:r>
      <w:r>
        <w:t>)</w:t>
      </w:r>
      <w:r>
        <w:rPr>
          <w:rFonts w:hint="eastAsia"/>
        </w:rPr>
        <w:t>的网络带宽，以满足单个存储集群内部的数据同步，同时单个机柜对外最少提供≥40Gbps</w:t>
      </w:r>
      <w:r>
        <w:rPr>
          <w:rFonts w:hint="eastAsia" w:eastAsia="宋体"/>
          <w:lang w:val="en-US" w:eastAsia="zh-CN"/>
        </w:rPr>
        <w:t>业务网络访问</w:t>
      </w:r>
      <w:r>
        <w:rPr>
          <w:rFonts w:hint="eastAsia"/>
        </w:rPr>
        <w:t>。如下图所示。</w:t>
      </w:r>
    </w:p>
    <w:p>
      <w:pPr>
        <w:ind w:left="0" w:firstLine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43600" cy="2807970"/>
            <wp:effectExtent l="0" t="0" r="0" b="11430"/>
            <wp:docPr id="3" name="图片 3" descr="1643041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4304138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5468"/>
      <w:bookmarkStart w:id="20" w:name="_Toc21519"/>
      <w:r>
        <w:rPr>
          <w:rFonts w:hint="eastAsia"/>
          <w:lang w:val="en-US" w:eastAsia="zh-CN"/>
        </w:rPr>
        <w:t>MTU</w:t>
      </w:r>
      <w:bookmarkEnd w:id="19"/>
      <w:bookmarkEnd w:id="2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建议使用9000字节的MTU 。设置MTU为9000可以获得显著的性能增益。这需要在客户</w:t>
      </w:r>
      <w:r>
        <w:rPr>
          <w:rFonts w:hint="eastAsia"/>
          <w:lang w:val="en-US" w:eastAsia="zh-CN"/>
        </w:rPr>
        <w:t>端</w:t>
      </w:r>
      <w:r>
        <w:rPr>
          <w:rFonts w:hint="default"/>
          <w:lang w:val="en-US" w:eastAsia="zh-CN"/>
        </w:rPr>
        <w:t>和Ceph集群之间的路径上的所有交换机和主机上设置</w:t>
      </w:r>
      <w:r>
        <w:rPr>
          <w:rFonts w:hint="eastAsia"/>
          <w:lang w:val="en-US" w:eastAsia="zh-CN"/>
        </w:rPr>
        <w:t>（一般客户端是openstack node/openshift node，如果客户端不接受设置MTU=9000，那么则保持所有链路上MTU为默认值1500）</w:t>
      </w:r>
      <w:r>
        <w:rPr>
          <w:rFonts w:hint="default"/>
          <w:lang w:val="en-US" w:eastAsia="zh-CN"/>
        </w:rPr>
        <w:t>。如果使用Nexus系列作为网络交换机，由于Nexus 3k系列最大支持的MTU为9216，建议在Nexus侧设置MTU为9216。建议在服务器端设置MTU 9000。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以下为错误案例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00725" cy="3305175"/>
            <wp:effectExtent l="0" t="0" r="9525" b="9525"/>
            <wp:docPr id="9" name="图片 9" descr="16423911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4239114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eastAsia="宋体"/>
          <w:b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10261"/>
      <w:bookmarkStart w:id="22" w:name="_Toc8926"/>
      <w:bookmarkStart w:id="23" w:name="_Toc13310"/>
      <w:r>
        <w:rPr>
          <w:rFonts w:hint="eastAsia"/>
          <w:lang w:val="en-US" w:eastAsia="zh-CN"/>
        </w:rPr>
        <w:t>磁盘控制器</w:t>
      </w:r>
      <w:bookmarkEnd w:id="21"/>
      <w:bookmarkEnd w:id="22"/>
      <w:bookmarkEnd w:id="23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磁盘控制器需要足够的吞吐量，一般服务器产商会根据服务器大小和盘位配置合适吞吐量的raid卡。在ceph的服务器配置中，如果raid卡支持jbod模式，优先采用jbod(non-raid，直通模式)，如果不支持jbod模式，设置硬盘为raid0，并设置raid卡缓存为write-through模式。</w:t>
      </w:r>
    </w:p>
    <w:p>
      <w:pPr>
        <w:rPr>
          <w:rFonts w:hint="default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磁盘不建议使用smr硬盘</w:t>
      </w:r>
    </w:p>
    <w:p>
      <w:pPr>
        <w:ind w:left="0" w:firstLine="0"/>
        <w:rPr>
          <w:rFonts w:hint="eastAsia" w:eastAsia="宋体"/>
          <w:b/>
          <w:lang w:val="en-US" w:eastAsia="zh-CN"/>
        </w:rPr>
      </w:pPr>
      <w:r>
        <w:drawing>
          <wp:inline distT="0" distB="0" distL="114300" distR="114300">
            <wp:extent cx="2827655" cy="2639060"/>
            <wp:effectExtent l="0" t="0" r="10795" b="8890"/>
            <wp:docPr id="439" name="Google Shape;439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Google Shape;439;p2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eastAsia="宋体"/>
          <w:b/>
          <w:lang w:val="en-US" w:eastAsia="zh-CN"/>
        </w:rPr>
      </w:pPr>
      <w:r>
        <w:drawing>
          <wp:inline distT="0" distB="0" distL="114300" distR="114300">
            <wp:extent cx="5711190" cy="3056890"/>
            <wp:effectExtent l="0" t="0" r="3810" b="10160"/>
            <wp:docPr id="242" name="Google Shape;242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Google Shape;242;p8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eastAsia="宋体"/>
          <w:b/>
          <w:lang w:val="en-US" w:eastAsia="zh-CN"/>
        </w:rPr>
      </w:pP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5942330" cy="3568700"/>
            <wp:effectExtent l="0" t="0" r="1270" b="12700"/>
            <wp:docPr id="5" name="图片 5" descr="16423474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234740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outlineLvl w:val="2"/>
        <w:rPr>
          <w:rFonts w:hint="eastAsia" w:eastAsia="宋体"/>
          <w:b/>
          <w:lang w:val="en-US" w:eastAsia="zh-CN"/>
        </w:rPr>
      </w:pPr>
      <w:bookmarkStart w:id="24" w:name="_Toc26177"/>
      <w:bookmarkStart w:id="25" w:name="_Toc7768"/>
      <w:r>
        <w:rPr>
          <w:rFonts w:hint="eastAsia" w:eastAsia="宋体"/>
          <w:b/>
          <w:lang w:val="en-US" w:eastAsia="zh-CN"/>
        </w:rPr>
        <w:t>服务器盘符保持一致</w:t>
      </w:r>
      <w:bookmarkEnd w:id="24"/>
      <w:bookmarkEnd w:id="25"/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26394"/>
      <w:bookmarkStart w:id="27" w:name="_Toc13879"/>
      <w:r>
        <w:rPr>
          <w:rFonts w:hint="eastAsia"/>
          <w:lang w:val="en-US" w:eastAsia="zh-CN"/>
        </w:rPr>
        <w:t>rhel操作系统中的盘符保持一致</w:t>
      </w:r>
      <w:bookmarkEnd w:id="26"/>
      <w:bookmarkEnd w:id="27"/>
    </w:p>
    <w:p>
      <w:pPr>
        <w:rPr>
          <w:rFonts w:hint="default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盘符不一致会增加实施部署运维的难度，所以在服务器上线的时候我们需要验收，保持服务器盘符的一致，以下为服务器盘符不一致的案例</w:t>
      </w:r>
    </w:p>
    <w:p>
      <w:pPr>
        <w:ind w:left="0" w:firstLine="0"/>
        <w:rPr>
          <w:rFonts w:hint="eastAsia" w:eastAsia="宋体"/>
          <w:b/>
          <w:lang w:val="en-US" w:eastAsia="zh-CN"/>
        </w:rPr>
      </w:pP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5419725" cy="2590800"/>
            <wp:effectExtent l="0" t="0" r="9525" b="0"/>
            <wp:docPr id="7" name="图片 7" descr="16423875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42387545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eastAsia="宋体"/>
          <w:b/>
          <w:lang w:val="en-US" w:eastAsia="zh-CN"/>
        </w:rPr>
      </w:pPr>
    </w:p>
    <w:p>
      <w:pPr>
        <w:ind w:left="0" w:firstLine="0"/>
        <w:rPr>
          <w:rFonts w:hint="eastAsia" w:eastAsia="宋体"/>
          <w:b/>
          <w:lang w:val="en-US" w:eastAsia="zh-CN"/>
        </w:rPr>
      </w:pP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5629275" cy="2257425"/>
            <wp:effectExtent l="0" t="0" r="9525" b="9525"/>
            <wp:docPr id="8" name="图片 8" descr="16423875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42387584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eastAsia="宋体"/>
          <w:b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8" w:name="_Toc9652"/>
      <w:bookmarkStart w:id="29" w:name="_Toc15191"/>
      <w:r>
        <w:rPr>
          <w:rFonts w:hint="eastAsia"/>
          <w:lang w:val="en-US" w:eastAsia="zh-CN"/>
        </w:rPr>
        <w:t>数据盘建议做成lvm以对应盘符变化</w:t>
      </w:r>
      <w:bookmarkEnd w:id="28"/>
      <w:bookmarkEnd w:id="29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服务器拔盘后重启操作系统，linux的正常处理方式是把盘符顺延，这样就会导致osd找不到对应的盘符，如果在磁盘上做逻辑卷lvm就可以避免这样的问题，一个osd对应一个lv，lv对应磁盘的uuid。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操作系统盘设计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推荐使用SAS磁盘，操作系统盘做raid1，提供高可用性，当一个磁盘失效，操作系统能直接切换到备份磁盘上读写。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/var目录建议独立分区，并且大小推荐300G，这样在故障分析的时候有足够的空间可以调高日志等级。</w:t>
      </w: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20387"/>
      <w:bookmarkStart w:id="31" w:name="_Toc31688"/>
      <w:bookmarkStart w:id="32" w:name="_Toc32756"/>
      <w:r>
        <w:rPr>
          <w:rFonts w:hint="eastAsia"/>
          <w:lang w:val="en-US" w:eastAsia="zh-CN"/>
        </w:rPr>
        <w:t>服务高可用和数据冗余容灾设计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24486"/>
      <w:bookmarkStart w:id="34" w:name="_Toc2892"/>
      <w:bookmarkStart w:id="35" w:name="_Toc19705"/>
      <w:r>
        <w:rPr>
          <w:rFonts w:hint="eastAsia"/>
          <w:lang w:val="en-US" w:eastAsia="zh-CN"/>
        </w:rPr>
        <w:t>osd数据冗余</w:t>
      </w:r>
      <w:bookmarkEnd w:id="33"/>
      <w:bookmarkEnd w:id="34"/>
      <w:bookmarkEnd w:id="35"/>
    </w:p>
    <w:p>
      <w:r>
        <w:rPr>
          <w:rFonts w:hint="eastAsia"/>
        </w:rPr>
        <w:t>数据的冗余通过Ceph内置的Crush算法，实现一份数据同时写入到多个节点</w:t>
      </w:r>
      <w:r>
        <w:t>(</w:t>
      </w:r>
      <w:r>
        <w:rPr>
          <w:rFonts w:hint="eastAsia"/>
        </w:rPr>
        <w:t>推荐3副本</w:t>
      </w:r>
      <w:r>
        <w:t>)</w:t>
      </w:r>
      <w:r>
        <w:rPr>
          <w:rFonts w:hint="eastAsia"/>
        </w:rPr>
        <w:t>，同时考虑到单个机柜可能会出现整柜故障</w:t>
      </w:r>
      <w:r>
        <w:t>(</w:t>
      </w:r>
      <w:r>
        <w:rPr>
          <w:rFonts w:hint="eastAsia"/>
        </w:rPr>
        <w:t>一般是电力或者网络</w:t>
      </w:r>
      <w:r>
        <w:t>),</w:t>
      </w:r>
      <w:r>
        <w:rPr>
          <w:rFonts w:hint="eastAsia"/>
        </w:rPr>
        <w:t>因此数据需要分布到多个机柜，实现最少机柜级别的数据冗余。</w:t>
      </w:r>
    </w:p>
    <w:p>
      <w:pPr>
        <w:ind w:left="0" w:firstLine="0"/>
        <w:rPr>
          <w:rFonts w:hint="eastAsia" w:eastAsia="宋体"/>
          <w:b/>
          <w:lang w:val="en-US" w:eastAsia="zh-CN"/>
        </w:rPr>
      </w:pP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5935980" cy="3158490"/>
            <wp:effectExtent l="0" t="0" r="7620" b="3810"/>
            <wp:docPr id="11" name="图片 11" descr="1643094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4309427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36" w:name="_Toc24854"/>
      <w:bookmarkStart w:id="37" w:name="_Toc30405"/>
      <w:bookmarkStart w:id="38" w:name="_Toc14543"/>
      <w:r>
        <w:rPr>
          <w:rFonts w:hint="eastAsia"/>
          <w:lang w:val="en-US" w:eastAsia="zh-CN"/>
        </w:rPr>
        <w:t>服务冗余</w:t>
      </w:r>
      <w:bookmarkEnd w:id="36"/>
      <w:bookmarkEnd w:id="37"/>
      <w:bookmarkEnd w:id="38"/>
    </w:p>
    <w:p>
      <w:r>
        <w:rPr>
          <w:rFonts w:hint="eastAsia"/>
        </w:rPr>
        <w:t>单个Ceph集群一般由MON、RGW</w:t>
      </w:r>
      <w:r>
        <w:t>/MDS</w:t>
      </w:r>
      <w:r>
        <w:rPr>
          <w:rFonts w:hint="eastAsia"/>
        </w:rPr>
        <w:t>、OSD这几个角色组成，不同的角色组合对应不同的存储服务类型，具体对应入下表所示。</w:t>
      </w:r>
    </w:p>
    <w:p/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3"/>
        <w:gridCol w:w="1969"/>
        <w:gridCol w:w="5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  <w:shd w:val="clear" w:color="auto" w:fill="D8D8D8" w:themeFill="background1" w:themeFillShade="D9"/>
          </w:tcPr>
          <w:p>
            <w:r>
              <w:rPr>
                <w:rFonts w:hint="eastAsia" w:eastAsia="微软雅黑"/>
                <w:b/>
              </w:rPr>
              <w:t>服务类型</w:t>
            </w:r>
          </w:p>
        </w:tc>
        <w:tc>
          <w:tcPr>
            <w:tcW w:w="1969" w:type="dxa"/>
            <w:shd w:val="clear" w:color="auto" w:fill="D8D8D8" w:themeFill="background1" w:themeFillShade="D9"/>
          </w:tcPr>
          <w:p>
            <w:r>
              <w:rPr>
                <w:rFonts w:hint="eastAsia" w:eastAsia="微软雅黑"/>
                <w:b/>
              </w:rPr>
              <w:t>服务角色</w:t>
            </w:r>
          </w:p>
        </w:tc>
        <w:tc>
          <w:tcPr>
            <w:tcW w:w="5020" w:type="dxa"/>
            <w:shd w:val="clear" w:color="auto" w:fill="D8D8D8" w:themeFill="background1" w:themeFillShade="D9"/>
          </w:tcPr>
          <w:p>
            <w:r>
              <w:rPr>
                <w:rFonts w:hint="eastAsia" w:eastAsia="微软雅黑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块存储服务</w:t>
            </w:r>
          </w:p>
        </w:tc>
        <w:tc>
          <w:tcPr>
            <w:tcW w:w="1969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OSD、MON</w:t>
            </w:r>
          </w:p>
        </w:tc>
        <w:tc>
          <w:tcPr>
            <w:tcW w:w="5020" w:type="dxa"/>
          </w:tcPr>
          <w:p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单机群MON 满足最少3个即可，OSD数量控制在</w:t>
            </w:r>
            <w:r>
              <w:rPr>
                <w:rFonts w:hint="eastAsia" w:eastAsia="宋体"/>
                <w:sz w:val="20"/>
                <w:lang w:val="en-US" w:eastAsia="zh-CN"/>
              </w:rPr>
              <w:t>2500</w:t>
            </w:r>
            <w:r>
              <w:rPr>
                <w:rFonts w:hint="eastAsia"/>
                <w:sz w:val="20"/>
              </w:rPr>
              <w:t>以内为宜</w:t>
            </w:r>
            <w:r>
              <w:rPr>
                <w:sz w:val="20"/>
              </w:rPr>
              <w:t>.(</w:t>
            </w:r>
            <w:r>
              <w:rPr>
                <w:rFonts w:hint="eastAsia"/>
                <w:sz w:val="20"/>
              </w:rPr>
              <w:t>其他类型的服务相同</w:t>
            </w:r>
            <w:r>
              <w:rPr>
                <w:sz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对象存储服务</w:t>
            </w:r>
          </w:p>
        </w:tc>
        <w:tc>
          <w:tcPr>
            <w:tcW w:w="1969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OSD、MON、</w:t>
            </w:r>
            <w:r>
              <w:rPr>
                <w:rFonts w:hint="eastAsia" w:eastAsia="微软雅黑"/>
                <w:color w:val="FF0000"/>
                <w:sz w:val="20"/>
              </w:rPr>
              <w:t>RGW</w:t>
            </w:r>
          </w:p>
        </w:tc>
        <w:tc>
          <w:tcPr>
            <w:tcW w:w="5020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RGW服务的高可用需要借助SLB，单集群配置≥3个。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3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文件存储服务</w:t>
            </w:r>
          </w:p>
        </w:tc>
        <w:tc>
          <w:tcPr>
            <w:tcW w:w="1969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OSD、MON、</w:t>
            </w:r>
            <w:r>
              <w:rPr>
                <w:rFonts w:hint="eastAsia" w:eastAsia="微软雅黑"/>
                <w:color w:val="FF0000"/>
                <w:sz w:val="20"/>
              </w:rPr>
              <w:t>MDS</w:t>
            </w:r>
          </w:p>
        </w:tc>
        <w:tc>
          <w:tcPr>
            <w:tcW w:w="5020" w:type="dxa"/>
          </w:tcPr>
          <w:p>
            <w:pPr>
              <w:rPr>
                <w:sz w:val="20"/>
              </w:rPr>
            </w:pPr>
            <w:r>
              <w:rPr>
                <w:rFonts w:hint="eastAsia" w:eastAsia="微软雅黑"/>
                <w:sz w:val="20"/>
              </w:rPr>
              <w:t>多个MDS组成Active-Standby模式，单集群配置≥2个。</w:t>
            </w:r>
          </w:p>
        </w:tc>
      </w:tr>
    </w:tbl>
    <w:p/>
    <w:p>
      <w:pPr>
        <w:ind w:left="0" w:firstLine="0"/>
        <w:rPr>
          <w:rFonts w:hint="eastAsia" w:eastAsia="宋体"/>
          <w:lang w:eastAsia="zh-CN"/>
        </w:rPr>
      </w:pPr>
      <w:r>
        <w:rPr>
          <w:rFonts w:hint="eastAsia"/>
        </w:rPr>
        <w:t>考虑到单机柜可能出现故障，因此每一种服务类型都需要部署在多个机柜中，实现最小都能满足机柜级别的容灾，推荐以单集群最少要分布在3个机柜上</w:t>
      </w:r>
      <w:r>
        <w:rPr>
          <w:rFonts w:hint="eastAsia" w:eastAsia="宋体"/>
          <w:lang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6336"/>
      <w:r>
        <w:rPr>
          <w:rFonts w:hint="eastAsia"/>
          <w:lang w:val="en-US" w:eastAsia="zh-CN"/>
        </w:rPr>
        <w:t>mon服务</w:t>
      </w:r>
      <w:bookmarkEnd w:id="39"/>
    </w:p>
    <w:p>
      <w:pPr>
        <w:rPr>
          <w:rFonts w:hint="eastAsia"/>
        </w:rPr>
      </w:pPr>
      <w:r>
        <w:rPr>
          <w:rFonts w:hint="eastAsia"/>
        </w:rPr>
        <w:t>MON之间需要运行Paxos算法选举leader</w:t>
      </w:r>
      <w:r>
        <w:t>(</w:t>
      </w:r>
      <w:r>
        <w:rPr>
          <w:rFonts w:hint="eastAsia"/>
        </w:rPr>
        <w:t>奇数个节点</w:t>
      </w:r>
      <w:r>
        <w:t>)</w:t>
      </w:r>
      <w:r>
        <w:rPr>
          <w:rFonts w:hint="eastAsia"/>
        </w:rPr>
        <w:t>，同时要满足</w:t>
      </w:r>
      <w:r>
        <w:t>MON</w:t>
      </w:r>
      <w:r>
        <w:rPr>
          <w:rFonts w:hint="eastAsia"/>
        </w:rPr>
        <w:t>服务的容灾，因此最少要3个以上的节点，如果OSD数量超过500个，建议采用SSD用来存储MON的数据</w:t>
      </w:r>
      <w:r>
        <w:t>(</w:t>
      </w:r>
      <w:r>
        <w:rPr>
          <w:rFonts w:hint="eastAsia"/>
        </w:rPr>
        <w:t>加速底层LevelDB</w:t>
      </w:r>
      <w:r>
        <w:t>/RocksDB</w:t>
      </w:r>
      <w:r>
        <w:rPr>
          <w:rFonts w:hint="eastAsia"/>
        </w:rPr>
        <w:t>的compact)。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0" w:name="_Toc21553"/>
      <w:r>
        <w:rPr>
          <w:rFonts w:hint="eastAsia"/>
          <w:lang w:val="en-US" w:eastAsia="zh-CN"/>
        </w:rPr>
        <w:t>mds服务</w:t>
      </w:r>
      <w:bookmarkEnd w:id="40"/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MDS目前有Active-Active和Active-Standby两种模式的高可用方案，比较推荐使用Active-Standby，因此最少需要2个以上节点。</w:t>
      </w:r>
    </w:p>
    <w:p>
      <w:pPr>
        <w:ind w:left="0" w:firstLine="0"/>
        <w:rPr>
          <w:rFonts w:hint="eastAsia" w:eastAsia="宋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1" w:name="_Toc14416"/>
      <w:bookmarkStart w:id="42" w:name="_Toc28600"/>
      <w:r>
        <w:rPr>
          <w:rFonts w:hint="eastAsia"/>
          <w:lang w:val="en-US" w:eastAsia="zh-CN"/>
        </w:rPr>
        <w:t>rgw服务</w:t>
      </w:r>
      <w:bookmarkEnd w:id="41"/>
      <w:bookmarkEnd w:id="42"/>
    </w:p>
    <w:p>
      <w:r>
        <w:rPr>
          <w:rFonts w:hint="eastAsia"/>
        </w:rPr>
        <w:t>RGW服务对外提供HTTP接口，并且每台RGW相对独立，原生的Ceph没有实现其服务的高可用，因此需要借助外部的4层或者7层负载均衡设备，因此RGW的高可用需要借助SLB这边的服务来实现。</w:t>
      </w:r>
    </w:p>
    <w:p>
      <w:pPr>
        <w:ind w:left="0" w:firstLine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41060" cy="2666365"/>
            <wp:effectExtent l="0" t="0" r="2540" b="635"/>
            <wp:docPr id="13" name="图片 13" descr="16431026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4310263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3" w:name="_Toc20323"/>
      <w:bookmarkStart w:id="44" w:name="_Toc1888"/>
      <w:bookmarkStart w:id="45" w:name="_Toc14910"/>
      <w:r>
        <w:rPr>
          <w:rFonts w:hint="eastAsia"/>
          <w:lang w:val="en-US" w:eastAsia="zh-CN"/>
        </w:rPr>
        <w:t>mon,rgw,mds服务部署在osd服务器上所需硬件资源</w:t>
      </w:r>
      <w:bookmarkEnd w:id="4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所有服务必须容器化部署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8"/>
        <w:gridCol w:w="1623"/>
        <w:gridCol w:w="1637"/>
        <w:gridCol w:w="2454"/>
        <w:gridCol w:w="1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68" w:type="dxa"/>
          </w:tcPr>
          <w:p>
            <w:r>
              <w:rPr>
                <w:rFonts w:hint="eastAsia" w:eastAsia="宋体"/>
                <w:lang w:val="en-US" w:eastAsia="zh-CN"/>
              </w:rPr>
              <w:t>服务</w:t>
            </w:r>
            <w:r>
              <w:rPr>
                <w:rFonts w:hint="eastAsia"/>
              </w:rPr>
              <w:t>类型</w:t>
            </w:r>
          </w:p>
        </w:tc>
        <w:tc>
          <w:tcPr>
            <w:tcW w:w="1623" w:type="dxa"/>
          </w:tcPr>
          <w:p>
            <w:r>
              <w:rPr>
                <w:rFonts w:hint="eastAsia"/>
              </w:rPr>
              <w:t>CPU</w:t>
            </w:r>
          </w:p>
        </w:tc>
        <w:tc>
          <w:tcPr>
            <w:tcW w:w="1637" w:type="dxa"/>
          </w:tcPr>
          <w:p>
            <w:r>
              <w:rPr>
                <w:rFonts w:hint="eastAsia"/>
              </w:rPr>
              <w:t>内存</w:t>
            </w:r>
          </w:p>
        </w:tc>
        <w:tc>
          <w:tcPr>
            <w:tcW w:w="2454" w:type="dxa"/>
          </w:tcPr>
          <w:p>
            <w:r>
              <w:rPr>
                <w:rFonts w:hint="eastAsia"/>
              </w:rPr>
              <w:t>磁盘</w:t>
            </w:r>
          </w:p>
        </w:tc>
        <w:tc>
          <w:tcPr>
            <w:tcW w:w="1964" w:type="dxa"/>
          </w:tcPr>
          <w:p>
            <w:r>
              <w:rPr>
                <w:rFonts w:hint="eastAsia"/>
              </w:rPr>
              <w:t>网卡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9" w:hRule="atLeast"/>
        </w:trPr>
        <w:tc>
          <w:tcPr>
            <w:tcW w:w="1168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ceph-mon-container</w:t>
            </w:r>
          </w:p>
        </w:tc>
        <w:tc>
          <w:tcPr>
            <w:tcW w:w="1623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1x AMD64 or Intel64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cpu core</w:t>
            </w:r>
          </w:p>
        </w:tc>
        <w:tc>
          <w:tcPr>
            <w:tcW w:w="1637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5G</w:t>
            </w:r>
          </w:p>
        </w:tc>
        <w:tc>
          <w:tcPr>
            <w:tcW w:w="2454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使用操作系统/var分区50G</w:t>
            </w:r>
          </w:p>
        </w:tc>
        <w:tc>
          <w:tcPr>
            <w:tcW w:w="1964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2x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>GB Ethernet NICs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9" w:hRule="atLeast"/>
        </w:trPr>
        <w:tc>
          <w:tcPr>
            <w:tcW w:w="1168" w:type="dxa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ceph-mgr-container</w:t>
            </w:r>
          </w:p>
        </w:tc>
        <w:tc>
          <w:tcPr>
            <w:tcW w:w="1623" w:type="dxa"/>
          </w:tcPr>
          <w:p>
            <w:pPr>
              <w:rPr>
                <w:rFonts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18"/>
                <w:szCs w:val="18"/>
              </w:rPr>
              <w:t>1x AMD64 or Intel64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cpu core</w:t>
            </w:r>
          </w:p>
        </w:tc>
        <w:tc>
          <w:tcPr>
            <w:tcW w:w="1637" w:type="dxa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3G</w:t>
            </w:r>
          </w:p>
        </w:tc>
        <w:tc>
          <w:tcPr>
            <w:tcW w:w="2454" w:type="dxa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使用操作系统/var分区20G</w:t>
            </w:r>
          </w:p>
        </w:tc>
        <w:tc>
          <w:tcPr>
            <w:tcW w:w="1964" w:type="dxa"/>
          </w:tcPr>
          <w:p>
            <w:pPr>
              <w:rPr>
                <w:rFonts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18"/>
                <w:szCs w:val="18"/>
              </w:rPr>
              <w:t>2x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>GB Ethernet NICs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8" w:type="dxa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ceph-radosgw-container</w:t>
            </w:r>
          </w:p>
        </w:tc>
        <w:tc>
          <w:tcPr>
            <w:tcW w:w="16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1x AMD64 or Intel64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cpu core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63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5G</w:t>
            </w:r>
          </w:p>
        </w:tc>
        <w:tc>
          <w:tcPr>
            <w:tcW w:w="24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使用操作系统/var分区20G</w:t>
            </w:r>
          </w:p>
        </w:tc>
        <w:tc>
          <w:tcPr>
            <w:tcW w:w="196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2x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>GB Ethernet NICs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8" w:type="dxa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ceph-mds-container</w:t>
            </w:r>
          </w:p>
        </w:tc>
        <w:tc>
          <w:tcPr>
            <w:tcW w:w="162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1x AMD64 or Intel64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cpu core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637" w:type="dxa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5G</w:t>
            </w:r>
          </w:p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可以配置读缓存mds_cache_memory_limit 。根据内存大小配置一般为50G~200G</w:t>
            </w:r>
          </w:p>
        </w:tc>
        <w:tc>
          <w:tcPr>
            <w:tcW w:w="245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使用操作系统/var分区20G</w:t>
            </w:r>
          </w:p>
        </w:tc>
        <w:tc>
          <w:tcPr>
            <w:tcW w:w="196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2x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>GB Ethernet NICs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6" w:name="_Toc2634"/>
      <w:r>
        <w:rPr>
          <w:rFonts w:hint="eastAsia"/>
          <w:lang w:val="en-US" w:eastAsia="zh-CN"/>
        </w:rPr>
        <w:t>mon, rgw, mds单独物理机部署推荐硬件配置参考</w:t>
      </w:r>
      <w:bookmarkEnd w:id="44"/>
      <w:bookmarkEnd w:id="45"/>
      <w:bookmarkEnd w:id="46"/>
    </w:p>
    <w:p>
      <w:pPr>
        <w:pStyle w:val="4"/>
        <w:bidi w:val="0"/>
        <w:rPr>
          <w:rFonts w:hint="eastAsia"/>
          <w:lang w:val="en-US" w:eastAsia="zh-CN"/>
        </w:rPr>
      </w:pPr>
      <w:bookmarkStart w:id="47" w:name="_Toc1724"/>
      <w:bookmarkStart w:id="48" w:name="_Toc14817"/>
      <w:r>
        <w:rPr>
          <w:rFonts w:hint="eastAsia"/>
          <w:lang w:val="en-US" w:eastAsia="zh-CN"/>
        </w:rPr>
        <w:t>mon节点</w:t>
      </w:r>
      <w:bookmarkEnd w:id="47"/>
      <w:bookmarkEnd w:id="48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256"/>
        <w:gridCol w:w="1048"/>
        <w:gridCol w:w="1436"/>
        <w:gridCol w:w="1239"/>
        <w:gridCol w:w="1094"/>
        <w:gridCol w:w="1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r>
              <w:rPr>
                <w:rFonts w:hint="eastAsia"/>
              </w:rPr>
              <w:t>机器类型</w:t>
            </w:r>
          </w:p>
        </w:tc>
        <w:tc>
          <w:tcPr>
            <w:tcW w:w="1256" w:type="dxa"/>
          </w:tcPr>
          <w:p>
            <w:r>
              <w:rPr>
                <w:rFonts w:hint="eastAsia"/>
              </w:rPr>
              <w:t>CPU</w:t>
            </w:r>
          </w:p>
        </w:tc>
        <w:tc>
          <w:tcPr>
            <w:tcW w:w="1048" w:type="dxa"/>
          </w:tcPr>
          <w:p>
            <w:r>
              <w:rPr>
                <w:rFonts w:hint="eastAsia"/>
              </w:rPr>
              <w:t>内存</w:t>
            </w:r>
          </w:p>
        </w:tc>
        <w:tc>
          <w:tcPr>
            <w:tcW w:w="1436" w:type="dxa"/>
          </w:tcPr>
          <w:p>
            <w:r>
              <w:rPr>
                <w:rFonts w:hint="eastAsia"/>
              </w:rPr>
              <w:t>磁盘</w:t>
            </w:r>
          </w:p>
        </w:tc>
        <w:tc>
          <w:tcPr>
            <w:tcW w:w="1239" w:type="dxa"/>
          </w:tcPr>
          <w:p>
            <w:r>
              <w:rPr>
                <w:rFonts w:hint="eastAsia"/>
              </w:rPr>
              <w:t>网卡</w:t>
            </w:r>
          </w:p>
        </w:tc>
        <w:tc>
          <w:tcPr>
            <w:tcW w:w="1094" w:type="dxa"/>
          </w:tcPr>
          <w:p>
            <w:r>
              <w:rPr>
                <w:rFonts w:hint="eastAsia"/>
              </w:rPr>
              <w:t>电源</w:t>
            </w:r>
          </w:p>
        </w:tc>
        <w:tc>
          <w:tcPr>
            <w:tcW w:w="1207" w:type="dxa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9" w:hRule="atLeast"/>
        </w:trPr>
        <w:tc>
          <w:tcPr>
            <w:tcW w:w="124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1U</w:t>
            </w:r>
            <w:r>
              <w:rPr>
                <w:rFonts w:hint="eastAsia"/>
                <w:sz w:val="18"/>
                <w:szCs w:val="18"/>
              </w:rPr>
              <w:t>-机架式</w:t>
            </w:r>
          </w:p>
        </w:tc>
        <w:tc>
          <w:tcPr>
            <w:tcW w:w="125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Intel</w:t>
            </w:r>
            <w:r>
              <w:rPr>
                <w:sz w:val="18"/>
                <w:szCs w:val="18"/>
              </w:rPr>
              <w:t xml:space="preserve"> E5-2623 v3 3.0GHz单路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048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ECC 32GB</w:t>
            </w:r>
          </w:p>
        </w:tc>
        <w:tc>
          <w:tcPr>
            <w:tcW w:w="143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系统盘:</w:t>
            </w: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5</w:t>
            </w:r>
            <w:r>
              <w:rPr>
                <w:sz w:val="18"/>
                <w:szCs w:val="18"/>
              </w:rPr>
              <w:t>00GB 15K RPM SAS</w:t>
            </w:r>
            <w:r>
              <w:rPr>
                <w:rFonts w:hint="eastAsia"/>
                <w:sz w:val="18"/>
                <w:szCs w:val="18"/>
              </w:rPr>
              <w:t xml:space="preserve"> *2 Raid1</w:t>
            </w:r>
          </w:p>
        </w:tc>
        <w:tc>
          <w:tcPr>
            <w:tcW w:w="1239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10G SFP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双端口</w:t>
            </w:r>
          </w:p>
        </w:tc>
        <w:tc>
          <w:tcPr>
            <w:tcW w:w="109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热插拔双电源</w:t>
            </w:r>
          </w:p>
        </w:tc>
        <w:tc>
          <w:tcPr>
            <w:tcW w:w="120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单集群</w:t>
            </w: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50</w:t>
            </w:r>
            <w:r>
              <w:rPr>
                <w:rFonts w:hint="eastAsia"/>
                <w:sz w:val="18"/>
                <w:szCs w:val="18"/>
              </w:rPr>
              <w:t>0个OSD以内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1U</w:t>
            </w:r>
            <w:r>
              <w:rPr>
                <w:rFonts w:hint="eastAsia"/>
                <w:sz w:val="18"/>
                <w:szCs w:val="18"/>
              </w:rPr>
              <w:t>-机架式</w:t>
            </w:r>
          </w:p>
        </w:tc>
        <w:tc>
          <w:tcPr>
            <w:tcW w:w="125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Intel</w:t>
            </w:r>
            <w:r>
              <w:rPr>
                <w:sz w:val="18"/>
                <w:szCs w:val="18"/>
              </w:rPr>
              <w:t xml:space="preserve"> E5-2623 v3 3.0GHz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双路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048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ECC 64GB</w:t>
            </w:r>
          </w:p>
        </w:tc>
        <w:tc>
          <w:tcPr>
            <w:tcW w:w="143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系统盘:</w:t>
            </w: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5</w:t>
            </w:r>
            <w:r>
              <w:rPr>
                <w:rFonts w:hint="eastAsia"/>
                <w:sz w:val="18"/>
                <w:szCs w:val="18"/>
              </w:rPr>
              <w:t>00GB 固态盘 MLC *2 Raid 1</w:t>
            </w:r>
          </w:p>
        </w:tc>
        <w:tc>
          <w:tcPr>
            <w:tcW w:w="1239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10G SFP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双端口</w:t>
            </w:r>
          </w:p>
          <w:p>
            <w:pPr>
              <w:rPr>
                <w:sz w:val="18"/>
                <w:szCs w:val="18"/>
              </w:rPr>
            </w:pPr>
          </w:p>
        </w:tc>
        <w:tc>
          <w:tcPr>
            <w:tcW w:w="109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热插拔双电源</w:t>
            </w:r>
          </w:p>
        </w:tc>
        <w:tc>
          <w:tcPr>
            <w:tcW w:w="120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单集群OSD数量2</w:t>
            </w: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 xml:space="preserve">500 </w:t>
            </w:r>
            <w:r>
              <w:rPr>
                <w:rFonts w:hint="eastAsia"/>
                <w:sz w:val="18"/>
                <w:szCs w:val="18"/>
              </w:rPr>
              <w:t>以内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9" w:name="_Toc19913"/>
      <w:bookmarkStart w:id="50" w:name="_Toc10272"/>
      <w:r>
        <w:rPr>
          <w:rFonts w:hint="eastAsia"/>
          <w:lang w:val="en-US" w:eastAsia="zh-CN"/>
        </w:rPr>
        <w:t>rgw节点</w:t>
      </w:r>
      <w:bookmarkEnd w:id="49"/>
      <w:bookmarkEnd w:id="50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256"/>
        <w:gridCol w:w="1438"/>
        <w:gridCol w:w="1046"/>
        <w:gridCol w:w="1239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42" w:type="dxa"/>
          </w:tcPr>
          <w:p>
            <w:r>
              <w:rPr>
                <w:rFonts w:hint="eastAsia"/>
              </w:rPr>
              <w:t>机器类型</w:t>
            </w:r>
          </w:p>
        </w:tc>
        <w:tc>
          <w:tcPr>
            <w:tcW w:w="1256" w:type="dxa"/>
          </w:tcPr>
          <w:p>
            <w:r>
              <w:rPr>
                <w:rFonts w:hint="eastAsia"/>
              </w:rPr>
              <w:t>CPU</w:t>
            </w:r>
          </w:p>
        </w:tc>
        <w:tc>
          <w:tcPr>
            <w:tcW w:w="1438" w:type="dxa"/>
          </w:tcPr>
          <w:p>
            <w:r>
              <w:rPr>
                <w:rFonts w:hint="eastAsia"/>
              </w:rPr>
              <w:t>内存</w:t>
            </w:r>
          </w:p>
        </w:tc>
        <w:tc>
          <w:tcPr>
            <w:tcW w:w="1046" w:type="dxa"/>
          </w:tcPr>
          <w:p>
            <w:r>
              <w:rPr>
                <w:rFonts w:hint="eastAsia"/>
              </w:rPr>
              <w:t>磁盘</w:t>
            </w:r>
          </w:p>
        </w:tc>
        <w:tc>
          <w:tcPr>
            <w:tcW w:w="1239" w:type="dxa"/>
          </w:tcPr>
          <w:p>
            <w:r>
              <w:rPr>
                <w:rFonts w:hint="eastAsia"/>
              </w:rPr>
              <w:t>网卡</w:t>
            </w:r>
          </w:p>
        </w:tc>
        <w:tc>
          <w:tcPr>
            <w:tcW w:w="1094" w:type="dxa"/>
          </w:tcPr>
          <w:p>
            <w:r>
              <w:rPr>
                <w:rFonts w:hint="eastAsia"/>
              </w:rPr>
              <w:t>电源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1U</w:t>
            </w:r>
            <w:r>
              <w:rPr>
                <w:rFonts w:hint="eastAsia"/>
                <w:sz w:val="18"/>
                <w:szCs w:val="18"/>
              </w:rPr>
              <w:t>-机架式</w:t>
            </w:r>
          </w:p>
        </w:tc>
        <w:tc>
          <w:tcPr>
            <w:tcW w:w="125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 Intel</w:t>
            </w:r>
            <w:r>
              <w:rPr>
                <w:sz w:val="18"/>
                <w:szCs w:val="18"/>
              </w:rPr>
              <w:t xml:space="preserve"> E5-2623 v3 3.0GHz</w:t>
            </w:r>
            <w:r>
              <w:rPr>
                <w:rFonts w:hint="eastAsia"/>
                <w:sz w:val="18"/>
                <w:szCs w:val="18"/>
              </w:rPr>
              <w:t xml:space="preserve"> 双</w:t>
            </w:r>
            <w:r>
              <w:rPr>
                <w:sz w:val="18"/>
                <w:szCs w:val="18"/>
              </w:rPr>
              <w:t>路</w:t>
            </w:r>
          </w:p>
        </w:tc>
        <w:tc>
          <w:tcPr>
            <w:tcW w:w="1438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ECC 128GB</w:t>
            </w:r>
          </w:p>
        </w:tc>
        <w:tc>
          <w:tcPr>
            <w:tcW w:w="104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系统盘:</w:t>
            </w: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5</w:t>
            </w:r>
            <w:r>
              <w:rPr>
                <w:sz w:val="18"/>
                <w:szCs w:val="18"/>
              </w:rPr>
              <w:t>00GB 15K RPM SAS</w:t>
            </w:r>
            <w:r>
              <w:rPr>
                <w:rFonts w:hint="eastAsia"/>
                <w:sz w:val="18"/>
                <w:szCs w:val="18"/>
              </w:rPr>
              <w:t xml:space="preserve"> *2 Raid1</w:t>
            </w:r>
          </w:p>
        </w:tc>
        <w:tc>
          <w:tcPr>
            <w:tcW w:w="1239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10G SFP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双端口</w:t>
            </w:r>
          </w:p>
        </w:tc>
        <w:tc>
          <w:tcPr>
            <w:tcW w:w="109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热插拔双电源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1" w:name="_Toc27955"/>
      <w:bookmarkStart w:id="52" w:name="_Toc19592"/>
      <w:r>
        <w:rPr>
          <w:rFonts w:hint="eastAsia"/>
          <w:lang w:val="en-US" w:eastAsia="zh-CN"/>
        </w:rPr>
        <w:t>mds节点</w:t>
      </w:r>
      <w:bookmarkEnd w:id="51"/>
      <w:bookmarkEnd w:id="52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256"/>
        <w:gridCol w:w="1438"/>
        <w:gridCol w:w="1046"/>
        <w:gridCol w:w="1239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r>
              <w:rPr>
                <w:rFonts w:hint="eastAsia"/>
              </w:rPr>
              <w:t>机器类型</w:t>
            </w:r>
          </w:p>
        </w:tc>
        <w:tc>
          <w:tcPr>
            <w:tcW w:w="1256" w:type="dxa"/>
          </w:tcPr>
          <w:p>
            <w:r>
              <w:rPr>
                <w:rFonts w:hint="eastAsia"/>
              </w:rPr>
              <w:t>CPU</w:t>
            </w:r>
          </w:p>
        </w:tc>
        <w:tc>
          <w:tcPr>
            <w:tcW w:w="1438" w:type="dxa"/>
          </w:tcPr>
          <w:p>
            <w:r>
              <w:rPr>
                <w:rFonts w:hint="eastAsia"/>
              </w:rPr>
              <w:t>内存</w:t>
            </w:r>
          </w:p>
        </w:tc>
        <w:tc>
          <w:tcPr>
            <w:tcW w:w="1046" w:type="dxa"/>
          </w:tcPr>
          <w:p>
            <w:r>
              <w:rPr>
                <w:rFonts w:hint="eastAsia"/>
              </w:rPr>
              <w:t>磁盘</w:t>
            </w:r>
          </w:p>
        </w:tc>
        <w:tc>
          <w:tcPr>
            <w:tcW w:w="1239" w:type="dxa"/>
          </w:tcPr>
          <w:p>
            <w:r>
              <w:rPr>
                <w:rFonts w:hint="eastAsia"/>
              </w:rPr>
              <w:t>网卡</w:t>
            </w:r>
          </w:p>
        </w:tc>
        <w:tc>
          <w:tcPr>
            <w:tcW w:w="1094" w:type="dxa"/>
          </w:tcPr>
          <w:p>
            <w:r>
              <w:rPr>
                <w:rFonts w:hint="eastAsia"/>
              </w:rPr>
              <w:t>电源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1U</w:t>
            </w:r>
            <w:r>
              <w:rPr>
                <w:rFonts w:hint="eastAsia"/>
                <w:sz w:val="18"/>
                <w:szCs w:val="18"/>
              </w:rPr>
              <w:t>-机架式</w:t>
            </w:r>
          </w:p>
        </w:tc>
        <w:tc>
          <w:tcPr>
            <w:tcW w:w="125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 Intel</w:t>
            </w:r>
            <w:r>
              <w:rPr>
                <w:sz w:val="18"/>
                <w:szCs w:val="18"/>
              </w:rPr>
              <w:t xml:space="preserve"> E5-2623 v3 3.0GHz</w:t>
            </w:r>
            <w:r>
              <w:rPr>
                <w:rFonts w:hint="eastAsia"/>
                <w:sz w:val="18"/>
                <w:szCs w:val="18"/>
              </w:rPr>
              <w:t>双</w:t>
            </w:r>
            <w:r>
              <w:rPr>
                <w:sz w:val="18"/>
                <w:szCs w:val="18"/>
              </w:rPr>
              <w:t>路</w:t>
            </w:r>
          </w:p>
        </w:tc>
        <w:tc>
          <w:tcPr>
            <w:tcW w:w="1438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ECC 128GB</w:t>
            </w:r>
          </w:p>
        </w:tc>
        <w:tc>
          <w:tcPr>
            <w:tcW w:w="1046" w:type="dxa"/>
          </w:tcPr>
          <w:p>
            <w:pPr>
              <w:rPr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系统盘</w:t>
            </w:r>
            <w:r>
              <w:rPr>
                <w:b/>
                <w:sz w:val="18"/>
                <w:szCs w:val="18"/>
              </w:rPr>
              <w:t>:</w:t>
            </w:r>
            <w:r>
              <w:rPr>
                <w:rFonts w:hint="eastAsia" w:eastAsia="宋体"/>
                <w:b/>
                <w:sz w:val="18"/>
                <w:szCs w:val="18"/>
                <w:lang w:val="en-US" w:eastAsia="zh-CN"/>
              </w:rPr>
              <w:t>5</w:t>
            </w:r>
            <w:r>
              <w:rPr>
                <w:sz w:val="18"/>
                <w:szCs w:val="18"/>
              </w:rPr>
              <w:t>00GB 15K RPM SAS</w:t>
            </w:r>
            <w:r>
              <w:rPr>
                <w:rFonts w:hint="eastAsia"/>
                <w:sz w:val="18"/>
                <w:szCs w:val="18"/>
              </w:rPr>
              <w:t xml:space="preserve"> *2 Raid1</w:t>
            </w:r>
          </w:p>
        </w:tc>
        <w:tc>
          <w:tcPr>
            <w:tcW w:w="1239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10G SFP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双端口</w:t>
            </w:r>
          </w:p>
        </w:tc>
        <w:tc>
          <w:tcPr>
            <w:tcW w:w="109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热插拔双电源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3" w:name="_Toc9591"/>
      <w:bookmarkStart w:id="54" w:name="_Toc8019"/>
      <w:bookmarkStart w:id="55" w:name="_Toc8792"/>
      <w:r>
        <w:rPr>
          <w:rFonts w:hint="eastAsia"/>
          <w:lang w:val="en-US" w:eastAsia="zh-CN"/>
        </w:rPr>
        <w:t>osd硬件配置分为性能型，吞吐型，成本容量型</w:t>
      </w:r>
      <w:bookmarkEnd w:id="53"/>
      <w:bookmarkEnd w:id="54"/>
      <w:bookmarkEnd w:id="5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后续章节根据业务需求，做具体的数据硬件推荐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56" w:name="_Toc17895"/>
      <w:bookmarkStart w:id="57" w:name="_Toc32413"/>
      <w:bookmarkStart w:id="58" w:name="_Toc7317"/>
      <w:r>
        <w:rPr>
          <w:rFonts w:hint="eastAsia"/>
          <w:lang w:val="en-US" w:eastAsia="zh-CN"/>
        </w:rPr>
        <w:t>操作系统版本与Ceph版本对应关系</w:t>
      </w:r>
      <w:bookmarkEnd w:id="56"/>
      <w:bookmarkEnd w:id="57"/>
      <w:bookmarkEnd w:id="58"/>
    </w:p>
    <w:p>
      <w:pPr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2330" cy="4636135"/>
            <wp:effectExtent l="0" t="0" r="1270" b="12065"/>
            <wp:docPr id="14" name="图片 14" descr="16431251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4312519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9" w:name="_Toc27949"/>
      <w:bookmarkStart w:id="60" w:name="_Toc11601"/>
      <w:bookmarkStart w:id="61" w:name="_Toc21170"/>
      <w:r>
        <w:rPr>
          <w:rFonts w:hint="eastAsia"/>
          <w:lang w:val="en-US" w:eastAsia="zh-CN"/>
        </w:rPr>
        <w:t>Ceph集群规模限制</w:t>
      </w:r>
      <w:bookmarkEnd w:id="59"/>
      <w:bookmarkEnd w:id="60"/>
      <w:bookmarkEnd w:id="61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磁盘最大不超过12TB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每个数据节点不超过36个osd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集群不超过2500个osd(如果需要达到5000个osd，需要红帽技术支持做review)</w:t>
      </w:r>
    </w:p>
    <w:p>
      <w:pPr>
        <w:rPr>
          <w:rFonts w:hint="eastAsia" w:cs="Calibri"/>
          <w:lang w:val="en-US" w:eastAsia="zh-CN"/>
        </w:rPr>
      </w:pPr>
      <w:r>
        <w:rPr>
          <w:rFonts w:hint="eastAsia" w:cs="Calibri"/>
          <w:lang w:val="en-US" w:eastAsia="zh-CN"/>
        </w:rPr>
        <w:t>集群用作对象存储和文件存储， ssd加速分区的大小为osd盘大小的4%</w:t>
      </w:r>
    </w:p>
    <w:p>
      <w:pPr>
        <w:rPr>
          <w:rFonts w:hint="eastAsia" w:cs="Calibri"/>
          <w:lang w:val="en-US" w:eastAsia="zh-CN"/>
        </w:rPr>
      </w:pPr>
      <w:r>
        <w:rPr>
          <w:rFonts w:hint="eastAsia" w:cs="Calibri"/>
          <w:lang w:val="en-US" w:eastAsia="zh-CN"/>
        </w:rPr>
        <w:t>集群用作块存储，ssd加速分区的大小为osd盘大小的1%</w:t>
      </w:r>
    </w:p>
    <w:p>
      <w:pPr>
        <w:rPr>
          <w:rFonts w:hint="eastAsia" w:cs="Calibri"/>
          <w:lang w:val="en-US" w:eastAsia="zh-CN"/>
        </w:rPr>
      </w:pPr>
      <w:r>
        <w:rPr>
          <w:rFonts w:hint="eastAsia" w:cs="Calibri"/>
          <w:lang w:val="en-US" w:eastAsia="zh-CN"/>
        </w:rPr>
        <w:t>经过红帽测试验证过的Ceph对象存储最大100PB</w:t>
      </w:r>
    </w:p>
    <w:p>
      <w:pPr>
        <w:rPr>
          <w:rFonts w:hint="eastAsia" w:cs="Calibri"/>
          <w:lang w:val="en-US" w:eastAsia="zh-CN"/>
        </w:rPr>
      </w:pPr>
      <w:r>
        <w:rPr>
          <w:rFonts w:hint="eastAsia" w:cs="Calibri"/>
          <w:lang w:val="en-US" w:eastAsia="zh-CN"/>
        </w:rPr>
        <w:t>经过红帽测试验证过的Ceph块存储最大10PB</w:t>
      </w:r>
    </w:p>
    <w:p>
      <w:pPr>
        <w:rPr>
          <w:rFonts w:hint="eastAsia" w:cs="Calibri"/>
          <w:lang w:val="en-US" w:eastAsia="zh-CN"/>
        </w:rPr>
      </w:pPr>
      <w:r>
        <w:rPr>
          <w:rFonts w:hint="eastAsia" w:cs="Calibri"/>
          <w:lang w:val="en-US" w:eastAsia="zh-CN"/>
        </w:rPr>
        <w:t>经过红帽测试验证过的Ceph</w:t>
      </w:r>
      <w:bookmarkStart w:id="130" w:name="_GoBack"/>
      <w:bookmarkEnd w:id="130"/>
      <w:r>
        <w:rPr>
          <w:rFonts w:hint="eastAsia" w:cs="Calibri"/>
          <w:lang w:val="en-US" w:eastAsia="zh-CN"/>
        </w:rPr>
        <w:t>文件存储最大1PB</w:t>
      </w:r>
    </w:p>
    <w:p>
      <w:pPr>
        <w:rPr>
          <w:rFonts w:hint="default" w:cs="Calibri"/>
          <w:lang w:val="en-US" w:eastAsia="zh-CN"/>
        </w:rPr>
      </w:pPr>
    </w:p>
    <w:p>
      <w:pPr>
        <w:rPr>
          <w:rFonts w:hint="default" w:cs="Calibri"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2" w:name="_Toc22653"/>
      <w:bookmarkStart w:id="63" w:name="_Toc4032"/>
      <w:bookmarkStart w:id="64" w:name="_Toc21959"/>
      <w:r>
        <w:rPr>
          <w:rFonts w:hint="eastAsia"/>
          <w:lang w:val="en-US" w:eastAsia="zh-CN"/>
        </w:rPr>
        <w:t>高性能型Ceph集群配置推荐</w:t>
      </w:r>
      <w:bookmarkEnd w:id="62"/>
      <w:bookmarkEnd w:id="63"/>
      <w:bookmarkEnd w:id="64"/>
    </w:p>
    <w:p>
      <w:pPr>
        <w:pStyle w:val="3"/>
        <w:bidi w:val="0"/>
        <w:rPr>
          <w:rFonts w:hint="eastAsia"/>
          <w:lang w:val="en-US" w:eastAsia="zh-CN"/>
        </w:rPr>
      </w:pPr>
      <w:bookmarkStart w:id="65" w:name="_Toc3834"/>
      <w:bookmarkStart w:id="66" w:name="_Toc17014"/>
      <w:bookmarkStart w:id="67" w:name="_Toc12705"/>
      <w:r>
        <w:rPr>
          <w:rFonts w:hint="eastAsia"/>
          <w:lang w:val="en-US" w:eastAsia="zh-CN"/>
        </w:rPr>
        <w:t>硬件配置的目标</w:t>
      </w:r>
      <w:bookmarkEnd w:id="65"/>
      <w:bookmarkEnd w:id="66"/>
      <w:bookmarkEnd w:id="67"/>
    </w:p>
    <w:p>
      <w:pPr>
        <w:rPr>
          <w:rFonts w:hint="eastAsia" w:eastAsia="宋体"/>
          <w:b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每GB最高的IOPS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8" w:name="_Toc30525"/>
      <w:bookmarkStart w:id="69" w:name="_Toc6848"/>
      <w:bookmarkStart w:id="70" w:name="_Toc30434"/>
      <w:r>
        <w:rPr>
          <w:rFonts w:hint="eastAsia"/>
          <w:lang w:val="en-US" w:eastAsia="zh-CN"/>
        </w:rPr>
        <w:t>典型应用场景</w:t>
      </w:r>
      <w:bookmarkEnd w:id="68"/>
      <w:bookmarkEnd w:id="69"/>
      <w:bookmarkEnd w:id="70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IO密集型场景，比如数据库（mysql postgresql MariaDB</w:t>
      </w:r>
      <w:r>
        <w:rPr>
          <w:rFonts w:hint="default" w:ascii="Calibri" w:hAnsi="Calibri" w:eastAsia="Calibri" w:cs="Calibri"/>
          <w:lang w:val="en-US" w:eastAsia="zh-CN"/>
        </w:rPr>
        <w:t> </w:t>
      </w:r>
      <w:r>
        <w:rPr>
          <w:rFonts w:hint="eastAsia" w:ascii="Calibri" w:hAnsi="Calibri" w:eastAsia="Calibri" w:cs="Calibri"/>
          <w:lang w:val="en-US" w:eastAsia="zh-CN"/>
        </w:rPr>
        <w:t>）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1" w:name="_Toc23946"/>
      <w:bookmarkStart w:id="72" w:name="_Toc21284"/>
      <w:bookmarkStart w:id="73" w:name="_Toc5438"/>
      <w:r>
        <w:rPr>
          <w:rFonts w:hint="eastAsia"/>
          <w:lang w:val="en-US" w:eastAsia="zh-CN"/>
        </w:rPr>
        <w:t>硬件规格</w:t>
      </w:r>
      <w:bookmarkEnd w:id="71"/>
      <w:bookmarkEnd w:id="72"/>
      <w:bookmarkEnd w:id="73"/>
    </w:p>
    <w:p>
      <w:pPr>
        <w:rPr>
          <w:rFonts w:hint="default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CPU：每个 NVMe SSD 6 个核，假设 CPU 为 2 GHz。(非NVME的SSD，每个SSD OSD对应2个核)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RAM： 16 GB 基线，加上每个 OSD 5 GB。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网络： 10 Gb 以太网对应每 2 个 OSD。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OSD 介质：高性能、高耐用性的企业级 NVMe SSD。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OSD：每个 NVMe SSD 两个osd。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Bluestore WAL/DB：高性能、高耐用性的企业 NVMe SSD，与 OSD 共存。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磁盘控制器：原生 PCIe 总线。</w:t>
      </w:r>
    </w:p>
    <w:p>
      <w:pPr>
        <w:rPr>
          <w:rFonts w:hint="eastAsia" w:ascii="Calibri" w:hAnsi="Calibri" w:eastAsia="Calibri" w:cs="Calibri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4" w:name="_Toc18093"/>
      <w:bookmarkStart w:id="75" w:name="_Toc16517"/>
      <w:bookmarkStart w:id="76" w:name="_Toc29758"/>
      <w:r>
        <w:rPr>
          <w:rFonts w:hint="eastAsia"/>
          <w:lang w:val="en-US" w:eastAsia="zh-CN"/>
        </w:rPr>
        <w:t>联合测试产商</w:t>
      </w:r>
      <w:bookmarkEnd w:id="74"/>
      <w:bookmarkEnd w:id="75"/>
      <w:bookmarkEnd w:id="76"/>
    </w:p>
    <w:p>
      <w:pPr>
        <w:pStyle w:val="4"/>
        <w:bidi w:val="0"/>
        <w:rPr>
          <w:rFonts w:hint="eastAsia"/>
          <w:lang w:val="en-US" w:eastAsia="zh-CN"/>
        </w:rPr>
      </w:pPr>
      <w:bookmarkStart w:id="77" w:name="_Toc31058"/>
      <w:bookmarkStart w:id="78" w:name="_Toc20953"/>
      <w:r>
        <w:rPr>
          <w:rFonts w:hint="eastAsia"/>
          <w:lang w:val="en-US" w:eastAsia="zh-CN"/>
        </w:rPr>
        <w:t>超微服务器sku与Ceph集群规模的大小</w:t>
      </w:r>
      <w:bookmarkEnd w:id="77"/>
      <w:bookmarkEnd w:id="78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8"/>
        <w:gridCol w:w="2693"/>
        <w:gridCol w:w="1241"/>
        <w:gridCol w:w="11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eastAsia"/>
              </w:rPr>
              <w:t>supermicro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SYS-5038MR-OSD006P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不适用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不适用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4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after="0" w:afterAutospacing="0" w:line="21" w:lineRule="atLeast"/>
              <w:jc w:val="left"/>
              <w:textAlignment w:val="top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instrText xml:space="preserve"> HYPERLINK "https://www.supermicro.com/zh_cn/solutions/red-hat-ceph"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8"/>
                <w:rFonts w:hint="default" w:ascii="Arial" w:hAnsi="Arial" w:eastAsia="Arial" w:cs="Arial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超微服务器的详细信息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</w:tbl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9" w:name="_Toc4261"/>
      <w:bookmarkStart w:id="80" w:name="_Toc386"/>
      <w:bookmarkStart w:id="81" w:name="_Toc31250"/>
      <w:r>
        <w:rPr>
          <w:rFonts w:hint="eastAsia"/>
          <w:lang w:val="en-US" w:eastAsia="zh-CN"/>
        </w:rPr>
        <w:t>高吞吐量型Ceph集群配置推荐</w:t>
      </w:r>
      <w:bookmarkEnd w:id="79"/>
      <w:bookmarkEnd w:id="80"/>
      <w:bookmarkEnd w:id="81"/>
    </w:p>
    <w:p>
      <w:pPr>
        <w:pStyle w:val="3"/>
        <w:bidi w:val="0"/>
        <w:rPr>
          <w:rFonts w:hint="eastAsia"/>
          <w:lang w:val="en-US" w:eastAsia="zh-CN"/>
        </w:rPr>
      </w:pPr>
      <w:bookmarkStart w:id="82" w:name="_Toc4459"/>
      <w:bookmarkStart w:id="83" w:name="_Toc27580"/>
      <w:bookmarkStart w:id="84" w:name="_Toc4248"/>
      <w:r>
        <w:rPr>
          <w:rFonts w:hint="eastAsia"/>
          <w:lang w:val="en-US" w:eastAsia="zh-CN"/>
        </w:rPr>
        <w:t>硬件配置的目标</w:t>
      </w:r>
      <w:bookmarkEnd w:id="82"/>
      <w:bookmarkEnd w:id="83"/>
      <w:bookmarkEnd w:id="84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每TB最高的MBps</w:t>
      </w:r>
      <w:r>
        <w:rPr>
          <w:rFonts w:hint="default" w:ascii="Calibri" w:hAnsi="Calibri" w:eastAsia="Calibri" w:cs="Calibri"/>
          <w:lang w:val="en-US" w:eastAsia="zh-CN"/>
        </w:rPr>
        <w:t> 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5" w:name="_Toc24130"/>
      <w:bookmarkStart w:id="86" w:name="_Toc1002"/>
      <w:bookmarkStart w:id="87" w:name="_Toc6889"/>
      <w:r>
        <w:rPr>
          <w:rFonts w:hint="eastAsia"/>
          <w:lang w:val="en-US" w:eastAsia="zh-CN"/>
        </w:rPr>
        <w:t>典型应用场景</w:t>
      </w:r>
      <w:bookmarkEnd w:id="85"/>
      <w:bookmarkEnd w:id="86"/>
      <w:bookmarkEnd w:id="87"/>
    </w:p>
    <w:p>
      <w:pPr>
        <w:rPr>
          <w:rFonts w:hint="default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视频，音频，图片，流媒体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8" w:name="_Toc16804"/>
      <w:bookmarkStart w:id="89" w:name="_Toc30546"/>
      <w:bookmarkStart w:id="90" w:name="_Toc22268"/>
      <w:r>
        <w:rPr>
          <w:rFonts w:hint="eastAsia"/>
          <w:lang w:val="en-US" w:eastAsia="zh-CN"/>
        </w:rPr>
        <w:t>硬件规格</w:t>
      </w:r>
      <w:bookmarkEnd w:id="88"/>
      <w:bookmarkEnd w:id="89"/>
      <w:bookmarkEnd w:id="90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CPU：每个 HDD 0.5 个核心，假设 CPU 为 2 GHz。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RAM： 16 GB 基线，加上每个 OSD 5 GB。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网络：每 12 个 OSD 10 GbE，每个用于客户端和面向集群的网络。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OSD 媒体： 7200 RPM 企业级sata/sas硬盘。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OSD：每个 HDD 一个。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Bluestore WAL/DB：SATA SSD。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主机总线适配器 (HBA)：硬盘直通(JBOD)。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1" w:name="_Toc11733"/>
      <w:bookmarkStart w:id="92" w:name="_Toc250"/>
      <w:bookmarkStart w:id="93" w:name="_Toc4162"/>
      <w:r>
        <w:rPr>
          <w:rFonts w:hint="eastAsia"/>
          <w:lang w:val="en-US" w:eastAsia="zh-CN"/>
        </w:rPr>
        <w:t>联合测试产商</w:t>
      </w:r>
      <w:bookmarkEnd w:id="91"/>
      <w:bookmarkEnd w:id="92"/>
      <w:bookmarkEnd w:id="93"/>
    </w:p>
    <w:p>
      <w:pPr>
        <w:pStyle w:val="4"/>
        <w:bidi w:val="0"/>
        <w:rPr>
          <w:rFonts w:hint="default"/>
          <w:lang w:val="en-US" w:eastAsia="zh-CN"/>
        </w:rPr>
      </w:pPr>
      <w:bookmarkStart w:id="94" w:name="_Toc12620"/>
      <w:bookmarkStart w:id="95" w:name="_Toc29654"/>
      <w:r>
        <w:rPr>
          <w:rFonts w:hint="eastAsia"/>
          <w:lang w:val="en-US" w:eastAsia="zh-CN"/>
        </w:rPr>
        <w:t>Ceph集群规模大小与机架sku</w:t>
      </w:r>
      <w:bookmarkEnd w:id="94"/>
      <w:bookmarkEnd w:id="95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8"/>
        <w:gridCol w:w="2467"/>
        <w:gridCol w:w="2467"/>
        <w:gridCol w:w="24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eastAsia"/>
              </w:rPr>
              <w:t>supermicro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SRS-42E112-Ceph-03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SRS-42E136-Ceph-03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SRS-42E136-Ceph-03</w:t>
            </w:r>
          </w:p>
        </w:tc>
      </w:tr>
    </w:tbl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6" w:name="_Toc31398"/>
      <w:bookmarkStart w:id="97" w:name="_Toc21001"/>
      <w:r>
        <w:rPr>
          <w:rFonts w:hint="eastAsia"/>
          <w:lang w:val="en-US" w:eastAsia="zh-CN"/>
        </w:rPr>
        <w:t>Ceph集群规模大小与服务器sku</w:t>
      </w:r>
      <w:bookmarkEnd w:id="96"/>
      <w:bookmarkEnd w:id="97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8"/>
        <w:gridCol w:w="2520"/>
        <w:gridCol w:w="2347"/>
        <w:gridCol w:w="23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eastAsia"/>
              </w:rPr>
              <w:t>supermicro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SSG-6028R-OSD072P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SSG-6048-OSD216P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SSG-6048-OSD216P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QCT 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QxStor RCT-200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QxStor RCT-400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QxStor RCT-400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4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after="0" w:afterAutospacing="0" w:line="21" w:lineRule="atLeast"/>
              <w:jc w:val="left"/>
              <w:textAlignment w:val="top"/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instrText xml:space="preserve"> HYPERLINK "https://go.qct.io/solutions/" \l "specifications"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fldChar w:fldCharType="separate"/>
            </w:r>
            <w:r>
              <w:rPr>
                <w:rStyle w:val="18"/>
                <w:rFonts w:hint="default" w:ascii="Arial" w:hAnsi="Arial" w:eastAsia="Arial" w:cs="Arial"/>
                <w:i w:val="0"/>
                <w:iCs w:val="0"/>
                <w:caps w:val="0"/>
                <w:spacing w:val="0"/>
                <w:sz w:val="24"/>
                <w:szCs w:val="24"/>
              </w:rPr>
              <w:t>QCT：QxStor Red Hat Ceph 存储版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fldChar w:fldCharType="end"/>
            </w:r>
          </w:p>
        </w:tc>
      </w:tr>
    </w:tbl>
    <w:p>
      <w:pPr>
        <w:ind w:left="0" w:firstLine="0"/>
        <w:rPr>
          <w:rFonts w:hint="eastAsia" w:eastAsia="宋体"/>
          <w:b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8" w:name="_Toc30461"/>
      <w:bookmarkStart w:id="99" w:name="_Toc2328"/>
      <w:r>
        <w:rPr>
          <w:rFonts w:hint="eastAsia"/>
          <w:lang w:val="en-US" w:eastAsia="zh-CN"/>
        </w:rPr>
        <w:t>其他厂家服务器型号与Ceph集群</w:t>
      </w:r>
      <w:bookmarkEnd w:id="98"/>
      <w:bookmarkEnd w:id="99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4"/>
        <w:gridCol w:w="3093"/>
        <w:gridCol w:w="2757"/>
        <w:gridCol w:w="26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戴尔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PowerEdge R730XD 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DSS 7000 ，双节点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DSS 7000，双节点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思科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UCS C240 M4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UCS C3260 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instrText xml:space="preserve"> HYPERLINK "https://access.redhat.com/documentation/en-us/red_hat_ceph_storage/4/html/hardware_guide/server-and-rack-solutions_hw" \l "ftn.rhc3260"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fldChar w:fldCharType="separate"/>
            </w:r>
            <w:r>
              <w:rPr>
                <w:rStyle w:val="19"/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18"/>
                <w:szCs w:val="18"/>
                <w:u w:val="none"/>
              </w:rPr>
              <w:t>[c]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fldChar w:fldCharType="end"/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UCS C3260 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instrText xml:space="preserve"> HYPERLINK "https://access.redhat.com/documentation/en-us/red_hat_ceph_storage/4/html/hardware_guide/server-and-rack-solutions_hw" \l "ftn.c3260"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fldChar w:fldCharType="separate"/>
            </w:r>
            <w:r>
              <w:rPr>
                <w:rStyle w:val="19"/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18"/>
                <w:szCs w:val="18"/>
                <w:u w:val="none"/>
              </w:rPr>
              <w:t>[d]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u w:val="none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联想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x3650 M5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x3650 M5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不适用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4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after="0" w:afterAutospacing="0" w:line="21" w:lineRule="atLeast"/>
              <w:jc w:val="left"/>
              <w:textAlignment w:val="top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"https://access.redhat.com/documentation/en-us/red_hat_ceph_storage/4/html/hardware_guide/server-and-rack-solutions_hw" \l "r730xd"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9"/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18"/>
                <w:szCs w:val="18"/>
                <w:u w:val="none"/>
              </w:rPr>
              <w:t>[a]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有关详细信息， 请参阅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instrText xml:space="preserve"> HYPERLINK "http://en.community.dell.com/techcenter/cloud/m/dell_cloud_resources/20442913/download"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8"/>
                <w:rFonts w:hint="default" w:ascii="Arial" w:hAnsi="Arial" w:eastAsia="Arial" w:cs="Arial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适用于 Red Hat Ceph 存储的 Dell PowerEdge R730xd 性能和选型指南 - Dell Red Hat 技术白皮书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after="0" w:afterAutospacing="0" w:line="21" w:lineRule="atLeast"/>
              <w:jc w:val="left"/>
              <w:textAlignment w:val="top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"https://access.redhat.com/documentation/en-us/red_hat_ceph_storage/4/html/hardware_guide/server-and-rack-solutions_hw" \l "rhc3260"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9"/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18"/>
                <w:szCs w:val="18"/>
                <w:u w:val="none"/>
              </w:rPr>
              <w:t>[c]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有关详细信息， 请参阅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instrText xml:space="preserve"> HYPERLINK "https://www.redhat.com/en/resources/resources-red-hat-ceph-storage-hardware-selection-guide-html"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fldChar w:fldCharType="separate"/>
            </w:r>
            <w:r>
              <w:rPr>
                <w:rStyle w:val="18"/>
                <w:rFonts w:hint="default" w:ascii="Arial" w:hAnsi="Arial" w:eastAsia="Arial" w:cs="Arial"/>
                <w:i w:val="0"/>
                <w:iCs w:val="0"/>
                <w:caps w:val="0"/>
                <w:spacing w:val="0"/>
                <w:sz w:val="24"/>
                <w:szCs w:val="24"/>
              </w:rPr>
              <w:t>红帽 Ceph 存储硬件参考架构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24"/>
                <w:szCs w:val="24"/>
                <w:u w:val="none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after="0" w:afterAutospacing="0" w:line="21" w:lineRule="atLeast"/>
              <w:jc w:val="left"/>
              <w:textAlignment w:val="top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"https://access.redhat.com/documentation/en-us/red_hat_ceph_storage/4/html/hardware_guide/server-and-rack-solutions_hw" \l "c3260"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9"/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sz w:val="18"/>
                <w:szCs w:val="18"/>
                <w:u w:val="none"/>
              </w:rPr>
              <w:t>[d]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66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 详见UCS 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instrText xml:space="preserve"> HYPERLINK "https://www.cisco.com/c/en/us/products/servers-unified-computing/ucs-c3260-rack-server/index.html"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8"/>
                <w:rFonts w:hint="default" w:ascii="Arial" w:hAnsi="Arial" w:eastAsia="Arial" w:cs="Arial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C3260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</w:tbl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eastAsia" w:eastAsia="宋体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00" w:name="_Toc30339"/>
      <w:bookmarkStart w:id="101" w:name="_Toc6377"/>
      <w:bookmarkStart w:id="102" w:name="_Toc29167"/>
      <w:r>
        <w:rPr>
          <w:rFonts w:hint="eastAsia"/>
          <w:lang w:val="en-US" w:eastAsia="zh-CN"/>
        </w:rPr>
        <w:t>节约成本容量型Ceph集群配置推荐</w:t>
      </w:r>
      <w:bookmarkEnd w:id="100"/>
      <w:bookmarkEnd w:id="101"/>
      <w:bookmarkEnd w:id="102"/>
    </w:p>
    <w:p>
      <w:pPr>
        <w:pStyle w:val="3"/>
        <w:bidi w:val="0"/>
        <w:rPr>
          <w:rFonts w:hint="eastAsia"/>
          <w:lang w:val="en-US" w:eastAsia="zh-CN"/>
        </w:rPr>
      </w:pPr>
      <w:bookmarkStart w:id="103" w:name="_Toc16340"/>
      <w:bookmarkStart w:id="104" w:name="_Toc22581"/>
      <w:bookmarkStart w:id="105" w:name="_Toc21116"/>
      <w:r>
        <w:rPr>
          <w:rFonts w:hint="eastAsia"/>
          <w:lang w:val="en-US" w:eastAsia="zh-CN"/>
        </w:rPr>
        <w:t>硬件配置的目标</w:t>
      </w:r>
      <w:bookmarkEnd w:id="103"/>
      <w:bookmarkEnd w:id="104"/>
      <w:bookmarkEnd w:id="105"/>
    </w:p>
    <w:p>
      <w:pPr>
        <w:rPr>
          <w:rFonts w:hint="default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每TB最低的成本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6" w:name="_Toc21930"/>
      <w:bookmarkStart w:id="107" w:name="_Toc4784"/>
      <w:bookmarkStart w:id="108" w:name="_Toc11797"/>
      <w:r>
        <w:rPr>
          <w:rFonts w:hint="eastAsia"/>
          <w:lang w:val="en-US" w:eastAsia="zh-CN"/>
        </w:rPr>
        <w:t>典型应用场景</w:t>
      </w:r>
      <w:bookmarkEnd w:id="106"/>
      <w:bookmarkEnd w:id="107"/>
      <w:bookmarkEnd w:id="108"/>
    </w:p>
    <w:p>
      <w:pPr>
        <w:rPr>
          <w:rFonts w:hint="default" w:eastAsia="宋体"/>
          <w:b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文件对象归档，数据备份，日志库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9" w:name="_Toc27258"/>
      <w:bookmarkStart w:id="110" w:name="_Toc5595"/>
      <w:bookmarkStart w:id="111" w:name="_Toc18417"/>
      <w:r>
        <w:rPr>
          <w:rFonts w:hint="eastAsia"/>
          <w:lang w:val="en-US" w:eastAsia="zh-CN"/>
        </w:rPr>
        <w:t>硬件规格</w:t>
      </w:r>
      <w:bookmarkEnd w:id="109"/>
      <w:bookmarkEnd w:id="110"/>
      <w:bookmarkEnd w:id="111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CPU：每个 HDD 0.5 个内核，假设 CPU 为 2 GHz。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RAM： 16 GB 基线，加上每个 OSD 5 GB。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网络：每 12 个 OSD 10 GbE。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OSD 媒体： 7200 RPM 企业级硬盘。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OSD：每个 HDD 一个。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Bluestore WAL/DB：位于 HDD 上。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HBA： JBOD。</w:t>
      </w:r>
    </w:p>
    <w:p>
      <w:pPr>
        <w:rPr>
          <w:rFonts w:hint="eastAsia" w:ascii="Calibri" w:hAnsi="Calibri" w:eastAsia="Calibri" w:cs="Calibri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2" w:name="_Toc15449"/>
      <w:bookmarkStart w:id="113" w:name="_Toc18224"/>
      <w:bookmarkStart w:id="114" w:name="_Toc2821"/>
      <w:r>
        <w:rPr>
          <w:rFonts w:hint="eastAsia"/>
          <w:lang w:val="en-US" w:eastAsia="zh-CN"/>
        </w:rPr>
        <w:t>联合测试产商</w:t>
      </w:r>
      <w:bookmarkEnd w:id="112"/>
      <w:bookmarkEnd w:id="113"/>
      <w:bookmarkEnd w:id="114"/>
    </w:p>
    <w:p>
      <w:pPr>
        <w:pStyle w:val="4"/>
        <w:bidi w:val="0"/>
        <w:rPr>
          <w:rFonts w:hint="default"/>
          <w:lang w:val="en-US" w:eastAsia="zh-CN"/>
        </w:rPr>
      </w:pPr>
      <w:bookmarkStart w:id="115" w:name="_Toc5041"/>
      <w:bookmarkStart w:id="116" w:name="_Toc13035"/>
      <w:r>
        <w:rPr>
          <w:rFonts w:hint="eastAsia"/>
          <w:lang w:val="en-US" w:eastAsia="zh-CN"/>
        </w:rPr>
        <w:t>Ceph集群大小与</w:t>
      </w:r>
      <w:r>
        <w:rPr>
          <w:rFonts w:hint="default"/>
        </w:rPr>
        <w:t>机架级</w:t>
      </w:r>
      <w:r>
        <w:rPr>
          <w:rFonts w:hint="eastAsia"/>
          <w:lang w:val="en-US" w:eastAsia="zh-CN"/>
        </w:rPr>
        <w:t>sku</w:t>
      </w:r>
      <w:bookmarkEnd w:id="115"/>
      <w:bookmarkEnd w:id="116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8"/>
        <w:gridCol w:w="1514"/>
        <w:gridCol w:w="2105"/>
        <w:gridCol w:w="21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eastAsia"/>
              </w:rPr>
              <w:t>supermicro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SRS-42E136-Ceph-03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SRS-42E172-Ceph-03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spacing w:before="0" w:beforeAutospacing="0" w:after="378" w:afterAutospacing="0" w:line="315" w:lineRule="atLeast"/>
        <w:ind w:left="0" w:right="0"/>
        <w:jc w:val="left"/>
        <w:rPr>
          <w:rStyle w:val="17"/>
          <w:rFonts w:hint="eastAsia" w:ascii="Arial" w:hAnsi="Arial" w:eastAsia="宋体" w:cs="Arial"/>
          <w:b/>
          <w:bCs/>
          <w:i w:val="0"/>
          <w:iCs w:val="0"/>
          <w:caps w:val="0"/>
          <w:color w:val="252525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bidi w:val="0"/>
      </w:pPr>
      <w:bookmarkStart w:id="117" w:name="_Toc23739"/>
      <w:bookmarkStart w:id="118" w:name="_Toc903"/>
      <w:r>
        <w:rPr>
          <w:rFonts w:hint="eastAsia"/>
          <w:lang w:val="en-US" w:eastAsia="zh-CN"/>
        </w:rPr>
        <w:t>Ceph集群大小</w:t>
      </w:r>
      <w:r>
        <w:rPr>
          <w:rFonts w:hint="default"/>
        </w:rPr>
        <w:t>服务器 SKU</w:t>
      </w:r>
      <w:bookmarkEnd w:id="117"/>
      <w:bookmarkEnd w:id="118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8"/>
        <w:gridCol w:w="1514"/>
        <w:gridCol w:w="2161"/>
        <w:gridCol w:w="21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eastAsia"/>
              </w:rPr>
              <w:t>supermicro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SSG-6048R-OSD216P 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SSD-6048R-OSD360P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QCT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QxStor RCC-400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QxStor RCC-400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4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after="0" w:afterAutospacing="0" w:line="21" w:lineRule="atLeast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详情请参阅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"https://www.supermicro.com/solutions/datasheet_Ceph.pdf"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Supermicro 的 Ceph 整体解决方案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spacing w:before="0" w:beforeAutospacing="0" w:after="378" w:afterAutospacing="0" w:line="315" w:lineRule="atLeast"/>
        <w:ind w:left="0" w:right="0"/>
        <w:jc w:val="left"/>
        <w:rPr>
          <w:rStyle w:val="17"/>
          <w:rFonts w:hint="default" w:ascii="Arial" w:hAnsi="Arial" w:eastAsia="Arial" w:cs="Arial"/>
          <w:b/>
          <w:bCs/>
          <w:i w:val="0"/>
          <w:iCs w:val="0"/>
          <w:caps w:val="0"/>
          <w:color w:val="252525"/>
          <w:spacing w:val="0"/>
          <w:sz w:val="24"/>
          <w:szCs w:val="24"/>
          <w:shd w:val="clear" w:fill="FFFFFF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9" w:name="_Toc9659"/>
      <w:bookmarkStart w:id="120" w:name="_Toc12953"/>
      <w:r>
        <w:rPr>
          <w:rFonts w:hint="eastAsia"/>
          <w:lang w:val="en-US" w:eastAsia="zh-CN"/>
        </w:rPr>
        <w:t>Ceph集群规模与其他供应商的服务器sku</w:t>
      </w:r>
      <w:bookmarkEnd w:id="119"/>
      <w:bookmarkEnd w:id="120"/>
    </w:p>
    <w:tbl>
      <w:tblPr>
        <w:tblStyle w:val="14"/>
        <w:tblW w:w="0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3"/>
        <w:gridCol w:w="1514"/>
        <w:gridCol w:w="1935"/>
        <w:gridCol w:w="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供应商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小型 (250TB)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中等 (1PB)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b/>
                <w:bCs/>
                <w:color w:val="252525"/>
              </w:rPr>
            </w:pPr>
            <w:r>
              <w:rPr>
                <w:rFonts w:ascii="宋体" w:hAnsi="宋体" w:eastAsia="宋体" w:cs="宋体"/>
                <w:b/>
                <w:bCs/>
                <w:color w:val="252525"/>
                <w:kern w:val="0"/>
                <w:sz w:val="24"/>
                <w:szCs w:val="24"/>
                <w:lang w:val="en-US" w:eastAsia="zh-CN" w:bidi="ar"/>
              </w:rPr>
              <w:t>大 (2PB+)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戴尔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DSS 7000，双节点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DSS 7000，双节点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思科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UCS C3260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UCS C3260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联想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eastAsia" w:eastAsia="宋体"/>
                <w:lang w:val="en-US" w:eastAsia="zh-CN"/>
              </w:rPr>
              <w:t>system</w:t>
            </w:r>
            <w:r>
              <w:t xml:space="preserve"> x3650 M5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auto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t>不适用</w:t>
            </w:r>
          </w:p>
        </w:tc>
      </w:tr>
    </w:tbl>
    <w:p>
      <w:pPr>
        <w:ind w:left="0" w:firstLine="0"/>
        <w:rPr>
          <w:rFonts w:hint="eastAsia" w:eastAsia="宋体"/>
          <w:b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1" w:name="_Toc21685"/>
      <w:r>
        <w:rPr>
          <w:rFonts w:hint="eastAsia"/>
          <w:lang w:val="en-US" w:eastAsia="zh-CN"/>
        </w:rPr>
        <w:t>一些硬件产商与红帽Ceph联合测试文档</w:t>
      </w:r>
      <w:bookmarkEnd w:id="12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"https://www.samsung.com/semiconductor/global.semi.static/SamsungNVMeSSDs_Red_Hat_Ceph_Storage_CS-0.pdf"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9"/>
          <w:rFonts w:hint="default"/>
          <w:lang w:val="en-US" w:eastAsia="zh-CN"/>
        </w:rPr>
        <w:t>三星 NVMe SSD 上的红帽 Ceph 存储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"https://www.redhat.com/cms/managed-files/st-ceph-storage-mysql-refarch-technology-detail-inc0448222-201609-en.pdf"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在红帽 Ceph 存储上部署 MySQL 数据库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"https://www.intel.com/content/dam/www/public/us/en/documents/reference-architectures/redhat-cloud-blocks-reference-architecture.pdf"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9"/>
          <w:rFonts w:hint="default"/>
          <w:lang w:val="en-US" w:eastAsia="zh-CN"/>
        </w:rPr>
        <w:t>面向云的英特尔® 数据中心模块 – 采用红帽 Ceph 存储的红帽 OpenStack 平台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"https://www.redhat.com/en/files/resources/st-ceph-qct-servers-inc0347490-en.pdf"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9"/>
          <w:rFonts w:hint="default"/>
          <w:lang w:val="en-US" w:eastAsia="zh-CN"/>
        </w:rPr>
        <w:t>QCT 服务器上的红帽 Ceph 存储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"https://www.redhat.com/cms/managed-files/st-rhcs-intel-config-guide-technology-detail-inc0406282-201606-en.pdf"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9"/>
          <w:rFonts w:hint="default"/>
          <w:lang w:val="en-US" w:eastAsia="zh-CN"/>
        </w:rPr>
        <w:t>配备英特尔处理器和 SSD 的服务器上的红帽 Ceph 存储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"https://www.redhat.com/cms/managed-files/st-10-billion-objects-overview-f25947wg-202011-en.pdf"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9"/>
          <w:rFonts w:hint="default"/>
          <w:lang w:val="en-US" w:eastAsia="zh-CN"/>
        </w:rPr>
        <w:t>红帽数据服务解决方案</w:t>
      </w:r>
      <w:r>
        <w:rPr>
          <w:rFonts w:hint="default"/>
          <w:lang w:val="en-US" w:eastAsia="zh-CN"/>
        </w:rPr>
        <w:fldChar w:fldCharType="end"/>
      </w: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22" w:name="_Toc20982"/>
      <w:bookmarkStart w:id="123" w:name="_Toc894"/>
      <w:bookmarkStart w:id="124" w:name="_Toc11266"/>
      <w:r>
        <w:rPr>
          <w:rFonts w:hint="eastAsia"/>
          <w:lang w:val="en-US" w:eastAsia="zh-CN"/>
        </w:rPr>
        <w:t>物理机部署ceph最低硬件配置要求</w:t>
      </w:r>
      <w:bookmarkEnd w:id="122"/>
      <w:bookmarkEnd w:id="123"/>
      <w:bookmarkEnd w:id="124"/>
    </w:p>
    <w:tbl>
      <w:tblPr>
        <w:tblStyle w:val="14"/>
        <w:tblW w:w="9787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9"/>
        <w:gridCol w:w="2556"/>
        <w:gridCol w:w="50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程序</w:t>
            </w:r>
          </w:p>
        </w:tc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0" w:type="auto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最低推荐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ceph-osd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0" w:type="auto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5 GB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操作系统磁盘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每台主机 1 个操作系统磁盘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硬盘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每个守护进程 1 个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硬盘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ceph-mon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1GB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磁盘空间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15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ceph-mgr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1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ceph-radosgw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磁盘空间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5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ceph-mds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磁盘空间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2GB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0" w:type="auto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</w:tbl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5" w:name="_Toc10495"/>
      <w:bookmarkStart w:id="126" w:name="_Toc6873"/>
      <w:bookmarkStart w:id="127" w:name="_Toc8844"/>
      <w:r>
        <w:rPr>
          <w:rFonts w:hint="eastAsia"/>
          <w:lang w:val="en-US" w:eastAsia="zh-CN"/>
        </w:rPr>
        <w:t>容器化部署ceph最低硬件配置要求</w:t>
      </w:r>
      <w:bookmarkEnd w:id="125"/>
      <w:bookmarkEnd w:id="126"/>
      <w:bookmarkEnd w:id="127"/>
    </w:p>
    <w:tbl>
      <w:tblPr>
        <w:tblStyle w:val="14"/>
        <w:tblW w:w="9787" w:type="dxa"/>
        <w:tblCellSpacing w:w="15" w:type="dxa"/>
        <w:tblInd w:w="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26"/>
        <w:gridCol w:w="1206"/>
        <w:gridCol w:w="73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程序</w:t>
            </w:r>
          </w:p>
        </w:tc>
        <w:tc>
          <w:tcPr>
            <w:tcW w:w="1176" w:type="dxa"/>
            <w:tcBorders>
              <w:lef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7310" w:type="dxa"/>
            <w:tcBorders>
              <w:left w:val="single" w:color="D1D1D1" w:sz="2" w:space="0"/>
              <w:right w:val="single" w:color="D1D1D1" w:sz="2" w:space="0"/>
            </w:tcBorders>
            <w:shd w:val="clear" w:color="auto" w:fill="F5F5F5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bottom"/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252525"/>
                <w:spacing w:val="0"/>
                <w:kern w:val="0"/>
                <w:sz w:val="24"/>
                <w:szCs w:val="24"/>
                <w:lang w:val="en-US" w:eastAsia="zh-CN" w:bidi="ar"/>
              </w:rPr>
              <w:t>最低推荐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ceph-osd-container</w:t>
            </w:r>
          </w:p>
        </w:tc>
        <w:tc>
          <w:tcPr>
            <w:tcW w:w="1176" w:type="dxa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7310" w:type="dxa"/>
            <w:tcBorders>
              <w:top w:val="single" w:color="D1D1D1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5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3" w:hRule="atLeast"/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操作系统磁盘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每台主机 1 个操作系统磁盘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硬盘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每个 OSD 容器 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52525"/>
                <w:spacing w:val="0"/>
                <w:lang w:val="en-US" w:eastAsia="zh-CN"/>
              </w:rPr>
              <w:t>对应一个硬盘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D1D1D1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ceph-mon-container</w:t>
            </w: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3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磁盘空间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10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ceph-mgr-container</w:t>
            </w: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3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ceph-radosgw-container</w:t>
            </w: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1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磁盘空间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 xml:space="preserve"> 5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restart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Style w:val="20"/>
                <w:rFonts w:hint="default" w:ascii="Consolas" w:hAnsi="Consolas" w:eastAsia="Consolas" w:cs="Consolas"/>
                <w:i w:val="0"/>
                <w:iCs w:val="0"/>
                <w:caps w:val="0"/>
                <w:color w:val="252525"/>
                <w:spacing w:val="0"/>
                <w:sz w:val="18"/>
                <w:szCs w:val="18"/>
                <w:shd w:val="clear" w:fill="F5F5F5"/>
              </w:rPr>
              <w:t>ceph-mds-container</w:t>
            </w: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处理器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1x AMD64 or Intel 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内存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3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63" w:hRule="atLeast"/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磁盘空间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 GB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71" w:hRule="atLeast"/>
          <w:tblCellSpacing w:w="15" w:type="dxa"/>
        </w:trPr>
        <w:tc>
          <w:tcPr>
            <w:tcW w:w="0" w:type="auto"/>
            <w:vMerge w:val="continue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  <w:sz w:val="24"/>
                <w:szCs w:val="24"/>
              </w:rPr>
            </w:pPr>
          </w:p>
        </w:tc>
        <w:tc>
          <w:tcPr>
            <w:tcW w:w="1176" w:type="dxa"/>
            <w:tcBorders>
              <w:top w:val="single" w:color="EDEDED" w:sz="2" w:space="0"/>
              <w:lef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网络</w:t>
            </w:r>
          </w:p>
        </w:tc>
        <w:tc>
          <w:tcPr>
            <w:tcW w:w="7310" w:type="dxa"/>
            <w:tcBorders>
              <w:top w:val="single" w:color="EDEDED" w:sz="2" w:space="0"/>
              <w:left w:val="single" w:color="D1D1D1" w:sz="2" w:space="0"/>
              <w:right w:val="single" w:color="D1D1D1" w:sz="2" w:space="0"/>
            </w:tcBorders>
            <w:shd w:val="clear" w:color="auto" w:fill="FFFFFF"/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378" w:afterAutospacing="0" w:line="315" w:lineRule="atLeast"/>
              <w:ind w:left="0" w:right="0"/>
              <w:jc w:val="left"/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252525"/>
                <w:spacing w:val="0"/>
              </w:rPr>
              <w:t>2x 1GB Ethernet NICs</w:t>
            </w:r>
          </w:p>
        </w:tc>
      </w:tr>
    </w:tbl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8" w:name="_Toc8365"/>
      <w:r>
        <w:rPr>
          <w:rFonts w:hint="eastAsia"/>
          <w:lang w:val="en-US" w:eastAsia="zh-CN"/>
        </w:rPr>
        <w:t>dashboard硬件最低要求</w:t>
      </w:r>
      <w:bookmarkEnd w:id="128"/>
    </w:p>
    <w:p>
      <w:pPr>
        <w:rPr>
          <w:rFonts w:hint="eastAsia" w:ascii="Calibri" w:hAnsi="Calibri" w:eastAsia="Calibri" w:cs="Calibri"/>
          <w:lang w:val="en-US" w:eastAsia="zh-CN"/>
        </w:rPr>
      </w:pPr>
      <w:bookmarkStart w:id="129" w:name="_Toc25465"/>
      <w:r>
        <w:rPr>
          <w:rFonts w:hint="eastAsia" w:ascii="Calibri" w:hAnsi="Calibri" w:eastAsia="Calibri" w:cs="Calibri"/>
          <w:lang w:val="en-US" w:eastAsia="zh-CN"/>
        </w:rPr>
        <w:t>2.5 GHz 或更高频率的 4 核处理器</w:t>
      </w:r>
      <w:bookmarkEnd w:id="129"/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8 GB 内存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50 GB 硬盘驱动器</w:t>
      </w:r>
    </w:p>
    <w:p>
      <w:pPr>
        <w:rPr>
          <w:rFonts w:hint="eastAsia" w:ascii="Calibri" w:hAnsi="Calibri" w:eastAsia="Calibri" w:cs="Calibri"/>
          <w:lang w:val="en-US" w:eastAsia="zh-CN"/>
        </w:rPr>
      </w:pPr>
      <w:r>
        <w:rPr>
          <w:rFonts w:hint="eastAsia" w:ascii="Calibri" w:hAnsi="Calibri" w:eastAsia="Calibri" w:cs="Calibri"/>
          <w:lang w:val="en-US" w:eastAsia="zh-CN"/>
        </w:rPr>
        <w:t>1个千兆以太网网络接口</w:t>
      </w: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p>
      <w:pPr>
        <w:ind w:left="0" w:firstLine="0"/>
        <w:rPr>
          <w:rFonts w:hint="default" w:eastAsia="宋体"/>
          <w:b/>
          <w:lang w:val="en-US" w:eastAsia="zh-CN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2240" w:h="15840"/>
      <w:pgMar w:top="1440" w:right="1440" w:bottom="1440" w:left="1440" w:header="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tbl>
    <w:tblPr>
      <w:tblStyle w:val="32"/>
      <w:tblW w:w="9360" w:type="dxa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4680"/>
      <w:gridCol w:w="4680"/>
    </w:tblGrid>
    <w:tr>
      <w:tblPrEx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CellMar>
          <w:top w:w="100" w:type="dxa"/>
          <w:left w:w="100" w:type="dxa"/>
          <w:bottom w:w="100" w:type="dxa"/>
          <w:right w:w="100" w:type="dxa"/>
        </w:tblCellMar>
      </w:tblPrEx>
      <w:tc>
        <w:tcPr>
          <w:tcBorders>
            <w:top w:val="single" w:color="A91F1F" w:sz="24" w:space="0"/>
            <w:left w:val="nil"/>
            <w:bottom w:val="nil"/>
            <w:right w:val="nil"/>
          </w:tcBorders>
          <w:shd w:val="clear" w:color="auto" w:fill="auto"/>
          <w:tcMar>
            <w:top w:w="1" w:type="dxa"/>
            <w:left w:w="1" w:type="dxa"/>
            <w:bottom w:w="1" w:type="dxa"/>
            <w:right w:w="1" w:type="dxa"/>
          </w:tcMar>
          <w:vAlign w:val="top"/>
        </w:tcPr>
        <w:p>
          <w:pPr>
            <w:widowControl w:val="0"/>
            <w:spacing w:before="120" w:after="0" w:line="240" w:lineRule="auto"/>
            <w:jc w:val="left"/>
          </w:pPr>
          <w:r>
            <w:rPr>
              <w:rtl w:val="0"/>
            </w:rPr>
            <w:t>仅限内部使用</w:t>
          </w:r>
        </w:p>
        <w:p>
          <w:pPr>
            <w:widowControl w:val="0"/>
            <w:spacing w:before="120" w:after="0" w:line="240" w:lineRule="auto"/>
            <w:jc w:val="left"/>
          </w:pPr>
        </w:p>
        <w:p>
          <w:pPr>
            <w:widowControl w:val="0"/>
            <w:spacing w:before="120" w:after="0" w:line="240" w:lineRule="auto"/>
            <w:jc w:val="left"/>
          </w:pPr>
        </w:p>
      </w:tc>
      <w:tc>
        <w:tcPr>
          <w:tcBorders>
            <w:top w:val="single" w:color="A91F1F" w:sz="24" w:space="0"/>
            <w:left w:val="nil"/>
            <w:bottom w:val="nil"/>
            <w:right w:val="nil"/>
          </w:tcBorders>
          <w:shd w:val="clear" w:color="auto" w:fill="auto"/>
          <w:tcMar>
            <w:top w:w="1" w:type="dxa"/>
            <w:left w:w="1" w:type="dxa"/>
            <w:bottom w:w="1" w:type="dxa"/>
            <w:right w:w="1" w:type="dxa"/>
          </w:tcMar>
          <w:vAlign w:val="top"/>
        </w:tcPr>
        <w:p>
          <w:pPr>
            <w:widowControl w:val="0"/>
            <w:spacing w:before="120" w:after="0" w:line="240" w:lineRule="auto"/>
            <w:jc w:val="right"/>
          </w:pPr>
          <w:r>
            <w:rPr>
              <w:rtl w:val="0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>
            <w:rPr>
              <w:rtl w:val="0"/>
            </w:rPr>
            <w:t>页</w:t>
          </w:r>
        </w:p>
        <w:p>
          <w:pPr>
            <w:widowControl w:val="0"/>
            <w:spacing w:before="120" w:after="0" w:line="240" w:lineRule="auto"/>
            <w:jc w:val="right"/>
          </w:pPr>
        </w:p>
      </w:tc>
    </w:tr>
  </w:tbl>
  <w:p>
    <w:pPr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tbl>
    <w:tblPr>
      <w:tblStyle w:val="31"/>
      <w:tblW w:w="9360" w:type="dxa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4680"/>
      <w:gridCol w:w="4680"/>
    </w:tblGrid>
    <w:tr>
      <w:tblPrEx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CellMar>
          <w:top w:w="100" w:type="dxa"/>
          <w:left w:w="100" w:type="dxa"/>
          <w:bottom w:w="100" w:type="dxa"/>
          <w:right w:w="100" w:type="dxa"/>
        </w:tblCellMar>
      </w:tblPrEx>
      <w:tc>
        <w:tcPr>
          <w:tcBorders>
            <w:top w:val="single" w:color="A91F1F" w:sz="24" w:space="0"/>
            <w:left w:val="nil"/>
            <w:bottom w:val="nil"/>
            <w:right w:val="nil"/>
          </w:tcBorders>
          <w:shd w:val="clear" w:color="auto" w:fill="auto"/>
          <w:tcMar>
            <w:top w:w="1" w:type="dxa"/>
            <w:left w:w="1" w:type="dxa"/>
            <w:bottom w:w="1" w:type="dxa"/>
            <w:right w:w="1" w:type="dxa"/>
          </w:tcMar>
          <w:vAlign w:val="top"/>
        </w:tcPr>
        <w:p>
          <w:pPr>
            <w:widowControl w:val="0"/>
            <w:spacing w:before="120" w:after="0" w:line="240" w:lineRule="auto"/>
            <w:jc w:val="left"/>
          </w:pPr>
          <w:r>
            <w:rPr>
              <w:rtl w:val="0"/>
            </w:rPr>
            <w:t>仅限内部使用</w:t>
          </w:r>
        </w:p>
        <w:p>
          <w:pPr>
            <w:widowControl w:val="0"/>
            <w:spacing w:before="120" w:after="0" w:line="240" w:lineRule="auto"/>
            <w:jc w:val="left"/>
          </w:pPr>
        </w:p>
      </w:tc>
      <w:tc>
        <w:tcPr>
          <w:tcBorders>
            <w:top w:val="single" w:color="A91F1F" w:sz="24" w:space="0"/>
            <w:left w:val="nil"/>
            <w:bottom w:val="nil"/>
            <w:right w:val="nil"/>
          </w:tcBorders>
          <w:shd w:val="clear" w:color="auto" w:fill="auto"/>
          <w:tcMar>
            <w:top w:w="1" w:type="dxa"/>
            <w:left w:w="1" w:type="dxa"/>
            <w:bottom w:w="1" w:type="dxa"/>
            <w:right w:w="1" w:type="dxa"/>
          </w:tcMar>
          <w:vAlign w:val="top"/>
        </w:tcPr>
        <w:p>
          <w:pPr>
            <w:widowControl w:val="0"/>
            <w:spacing w:before="120" w:after="0" w:line="240" w:lineRule="auto"/>
            <w:jc w:val="right"/>
          </w:pPr>
          <w:r>
            <w:rPr>
              <w:rtl w:val="0"/>
            </w:rPr>
            <w:t>第1页</w:t>
          </w:r>
        </w:p>
        <w:p>
          <w:pPr>
            <w:widowControl w:val="0"/>
            <w:spacing w:before="120" w:after="0" w:line="240" w:lineRule="auto"/>
            <w:jc w:val="right"/>
          </w:pPr>
        </w:p>
      </w:tc>
    </w:tr>
  </w:tbl>
  <w:p>
    <w:pPr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0" w:firstLine="0"/>
    </w:pPr>
  </w:p>
  <w:tbl>
    <w:tblPr>
      <w:tblStyle w:val="30"/>
      <w:tblW w:w="9360" w:type="dxa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4680"/>
      <w:gridCol w:w="4680"/>
    </w:tblGrid>
    <w:tr>
      <w:tblPrEx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CellMar>
          <w:top w:w="100" w:type="dxa"/>
          <w:left w:w="100" w:type="dxa"/>
          <w:bottom w:w="100" w:type="dxa"/>
          <w:right w:w="100" w:type="dxa"/>
        </w:tblCellMar>
      </w:tblPrEx>
      <w:tc>
        <w:tcPr>
          <w:tcBorders>
            <w:top w:val="nil"/>
            <w:left w:val="nil"/>
            <w:bottom w:val="single" w:color="A91F1F" w:sz="24" w:space="0"/>
            <w:right w:val="nil"/>
          </w:tcBorders>
          <w:shd w:val="clear" w:color="auto" w:fill="auto"/>
          <w:tcMar>
            <w:top w:w="1" w:type="dxa"/>
            <w:left w:w="1" w:type="dxa"/>
            <w:bottom w:w="1" w:type="dxa"/>
            <w:right w:w="1" w:type="dxa"/>
          </w:tcMar>
          <w:vAlign w:val="top"/>
        </w:tcPr>
        <w:p>
          <w:pPr>
            <w:keepNext w:val="0"/>
            <w:keepLines w:val="0"/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80" w:line="240" w:lineRule="auto"/>
            <w:ind w:left="0" w:right="0" w:firstLine="0"/>
            <w:jc w:val="left"/>
          </w:pPr>
        </w:p>
        <w:p>
          <w:pPr>
            <w:keepNext w:val="0"/>
            <w:keepLines w:val="0"/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80" w:line="240" w:lineRule="auto"/>
            <w:ind w:left="0" w:right="0" w:firstLine="0"/>
            <w:jc w:val="left"/>
          </w:pPr>
        </w:p>
        <w:p>
          <w:pPr>
            <w:keepNext w:val="0"/>
            <w:keepLines w:val="0"/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80" w:line="240" w:lineRule="auto"/>
            <w:ind w:left="0" w:right="0" w:firstLine="0"/>
            <w:jc w:val="left"/>
            <w:rPr>
              <w:rFonts w:hint="default" w:eastAsia="宋体"/>
              <w:lang w:val="en-US" w:eastAsia="zh-CN"/>
            </w:rPr>
          </w:pPr>
          <w:r>
            <w:rPr>
              <w:rFonts w:hint="eastAsia" w:eastAsia="宋体"/>
              <w:lang w:val="en-US" w:eastAsia="zh-CN"/>
            </w:rPr>
            <w:t>Ceph硬件指导</w:t>
          </w:r>
        </w:p>
      </w:tc>
      <w:tc>
        <w:tcPr>
          <w:tcBorders>
            <w:top w:val="nil"/>
            <w:left w:val="nil"/>
            <w:bottom w:val="single" w:color="A91F1F" w:sz="24" w:space="0"/>
            <w:right w:val="nil"/>
          </w:tcBorders>
          <w:shd w:val="clear" w:color="auto" w:fill="auto"/>
          <w:tcMar>
            <w:top w:w="1" w:type="dxa"/>
            <w:left w:w="1" w:type="dxa"/>
            <w:bottom w:w="1" w:type="dxa"/>
            <w:right w:w="1" w:type="dxa"/>
          </w:tcMar>
          <w:vAlign w:val="top"/>
        </w:tcPr>
        <w:p>
          <w:pPr>
            <w:keepNext w:val="0"/>
            <w:keepLines w:val="0"/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80" w:line="240" w:lineRule="auto"/>
            <w:ind w:left="0" w:right="0" w:firstLine="0"/>
            <w:jc w:val="right"/>
          </w:pPr>
        </w:p>
        <w:p>
          <w:pPr>
            <w:keepNext w:val="0"/>
            <w:keepLines w:val="0"/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80" w:line="240" w:lineRule="auto"/>
            <w:ind w:left="0" w:right="0" w:firstLine="0"/>
            <w:jc w:val="right"/>
          </w:pPr>
        </w:p>
        <w:p>
          <w:pPr>
            <w:keepNext w:val="0"/>
            <w:keepLines w:val="0"/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0" w:after="80" w:line="240" w:lineRule="auto"/>
            <w:ind w:left="0" w:right="0" w:firstLine="0"/>
            <w:jc w:val="right"/>
          </w:pPr>
          <w:r>
            <w:rPr>
              <w:rtl w:val="0"/>
            </w:rPr>
            <w:t>红帽大客户技术经理服务</w:t>
          </w:r>
        </w:p>
      </w:tc>
    </w:tr>
  </w:tbl>
  <w:p>
    <w:pPr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-932815</wp:posOffset>
          </wp:positionH>
          <wp:positionV relativeFrom="paragraph">
            <wp:posOffset>-66040</wp:posOffset>
          </wp:positionV>
          <wp:extent cx="7791450" cy="1852930"/>
          <wp:effectExtent l="0" t="0" r="0" b="0"/>
          <wp:wrapTopAndBottom/>
          <wp:docPr id="6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2.png"/>
                  <pic:cNvPicPr preferRelativeResize="0"/>
                </pic:nvPicPr>
                <pic:blipFill>
                  <a:blip r:embed="rId1"/>
                  <a:srcRect l="218" r="218"/>
                  <a:stretch>
                    <a:fillRect/>
                  </a:stretch>
                </pic:blipFill>
                <pic:spPr>
                  <a:xfrm>
                    <a:off x="0" y="0"/>
                    <a:ext cx="7791450" cy="18526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rsids>
    <w:rsidRoot w:val="00000000"/>
    <w:rsid w:val="00D348C5"/>
    <w:rsid w:val="00EF7950"/>
    <w:rsid w:val="010B22B0"/>
    <w:rsid w:val="029D40FE"/>
    <w:rsid w:val="05A174BF"/>
    <w:rsid w:val="07CC279A"/>
    <w:rsid w:val="086E3851"/>
    <w:rsid w:val="0BFA5BC2"/>
    <w:rsid w:val="0C801DA5"/>
    <w:rsid w:val="0D5B25AA"/>
    <w:rsid w:val="0D613984"/>
    <w:rsid w:val="0D755681"/>
    <w:rsid w:val="10523A58"/>
    <w:rsid w:val="11AE4CBE"/>
    <w:rsid w:val="134801C2"/>
    <w:rsid w:val="15D54F0F"/>
    <w:rsid w:val="16135A37"/>
    <w:rsid w:val="17854713"/>
    <w:rsid w:val="17EA0A1A"/>
    <w:rsid w:val="1A295829"/>
    <w:rsid w:val="1AA218EB"/>
    <w:rsid w:val="1ABA2925"/>
    <w:rsid w:val="1AD339E7"/>
    <w:rsid w:val="1FA0658E"/>
    <w:rsid w:val="20B57FCC"/>
    <w:rsid w:val="22B61C24"/>
    <w:rsid w:val="235A4CA6"/>
    <w:rsid w:val="242D5F16"/>
    <w:rsid w:val="262350ED"/>
    <w:rsid w:val="28D56B7C"/>
    <w:rsid w:val="291470BF"/>
    <w:rsid w:val="29471828"/>
    <w:rsid w:val="2AE5579D"/>
    <w:rsid w:val="2CB371D5"/>
    <w:rsid w:val="2CD77462"/>
    <w:rsid w:val="2CDC7C10"/>
    <w:rsid w:val="2CE455E0"/>
    <w:rsid w:val="2CFA3055"/>
    <w:rsid w:val="2E3A195C"/>
    <w:rsid w:val="2EBA6F40"/>
    <w:rsid w:val="2F631386"/>
    <w:rsid w:val="32052280"/>
    <w:rsid w:val="3291620A"/>
    <w:rsid w:val="3299612D"/>
    <w:rsid w:val="353C245D"/>
    <w:rsid w:val="37255D5C"/>
    <w:rsid w:val="37636526"/>
    <w:rsid w:val="38C20ECB"/>
    <w:rsid w:val="398B750F"/>
    <w:rsid w:val="3A43428E"/>
    <w:rsid w:val="3AE2248C"/>
    <w:rsid w:val="3B822B94"/>
    <w:rsid w:val="3C37397E"/>
    <w:rsid w:val="3CE60F00"/>
    <w:rsid w:val="3DC01751"/>
    <w:rsid w:val="3E133F77"/>
    <w:rsid w:val="3F446ADE"/>
    <w:rsid w:val="3F740B86"/>
    <w:rsid w:val="40675A52"/>
    <w:rsid w:val="40690E2B"/>
    <w:rsid w:val="415E375B"/>
    <w:rsid w:val="42DC702D"/>
    <w:rsid w:val="431247FD"/>
    <w:rsid w:val="43482915"/>
    <w:rsid w:val="44332C7D"/>
    <w:rsid w:val="465B5313"/>
    <w:rsid w:val="46FE60EE"/>
    <w:rsid w:val="48A4239B"/>
    <w:rsid w:val="494B0A69"/>
    <w:rsid w:val="4A77763C"/>
    <w:rsid w:val="4B7F49FA"/>
    <w:rsid w:val="4BDD448C"/>
    <w:rsid w:val="4CA7245A"/>
    <w:rsid w:val="4D381304"/>
    <w:rsid w:val="4F133DD7"/>
    <w:rsid w:val="4FC65056"/>
    <w:rsid w:val="510C4CA9"/>
    <w:rsid w:val="51C27D36"/>
    <w:rsid w:val="522602C5"/>
    <w:rsid w:val="53382D48"/>
    <w:rsid w:val="53784B50"/>
    <w:rsid w:val="53D224B3"/>
    <w:rsid w:val="53EC4BF7"/>
    <w:rsid w:val="55A30946"/>
    <w:rsid w:val="55E4027B"/>
    <w:rsid w:val="5862192B"/>
    <w:rsid w:val="5943175D"/>
    <w:rsid w:val="5A64198B"/>
    <w:rsid w:val="5C3F26AF"/>
    <w:rsid w:val="5D3E4715"/>
    <w:rsid w:val="5E820631"/>
    <w:rsid w:val="5ECE3876"/>
    <w:rsid w:val="5F294F51"/>
    <w:rsid w:val="5F3D27AA"/>
    <w:rsid w:val="60471B32"/>
    <w:rsid w:val="612814D2"/>
    <w:rsid w:val="61F730E4"/>
    <w:rsid w:val="62EA2C49"/>
    <w:rsid w:val="62EB6125"/>
    <w:rsid w:val="64B40B67"/>
    <w:rsid w:val="64C5396E"/>
    <w:rsid w:val="65031E53"/>
    <w:rsid w:val="65605444"/>
    <w:rsid w:val="65B03CD6"/>
    <w:rsid w:val="68C07632"/>
    <w:rsid w:val="693370F8"/>
    <w:rsid w:val="69894F6A"/>
    <w:rsid w:val="69BB70ED"/>
    <w:rsid w:val="6A420B27"/>
    <w:rsid w:val="6A9E4A45"/>
    <w:rsid w:val="6B486525"/>
    <w:rsid w:val="6C164AAF"/>
    <w:rsid w:val="6CD04C5E"/>
    <w:rsid w:val="6E35746E"/>
    <w:rsid w:val="6EC922AC"/>
    <w:rsid w:val="6F2B0871"/>
    <w:rsid w:val="6F584537"/>
    <w:rsid w:val="6F5B73A8"/>
    <w:rsid w:val="70904E30"/>
    <w:rsid w:val="71770865"/>
    <w:rsid w:val="719721EE"/>
    <w:rsid w:val="73DE4104"/>
    <w:rsid w:val="775F730A"/>
    <w:rsid w:val="784D3606"/>
    <w:rsid w:val="79312F28"/>
    <w:rsid w:val="7A0423EA"/>
    <w:rsid w:val="7A85177D"/>
    <w:rsid w:val="7B3847E4"/>
    <w:rsid w:val="7D6C2781"/>
    <w:rsid w:val="7E260B81"/>
    <w:rsid w:val="7FB4040F"/>
    <w:rsid w:val="7FC00B62"/>
    <w:rsid w:val="7FF058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="Calibri" w:hAnsi="Calibri" w:eastAsia="Calibri" w:cs="Calibri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after="60"/>
    </w:pPr>
    <w:rPr>
      <w:b/>
      <w:color w:val="A91F1F"/>
      <w:sz w:val="30"/>
      <w:szCs w:val="3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480" w:after="120"/>
      <w:jc w:val="both"/>
    </w:pPr>
    <w:rPr>
      <w:b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120" w:after="60"/>
      <w:ind w:left="720"/>
    </w:pPr>
    <w:rPr>
      <w:b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120" w:after="60" w:line="276" w:lineRule="auto"/>
      <w:ind w:left="864" w:hanging="864"/>
    </w:pPr>
    <w:rPr>
      <w:rFonts w:ascii="Calibri" w:hAnsi="Calibri" w:eastAsia="Calibri" w:cs="Calibri"/>
      <w:sz w:val="20"/>
      <w:szCs w:val="20"/>
    </w:rPr>
  </w:style>
  <w:style w:type="paragraph" w:styleId="6">
    <w:name w:val="heading 5"/>
    <w:basedOn w:val="1"/>
    <w:next w:val="1"/>
    <w:qFormat/>
    <w:uiPriority w:val="0"/>
    <w:pPr>
      <w:keepNext/>
      <w:keepLines/>
      <w:widowControl w:val="0"/>
      <w:tabs>
        <w:tab w:val="left" w:pos="720"/>
      </w:tabs>
      <w:spacing w:before="240" w:after="120" w:line="240" w:lineRule="auto"/>
      <w:ind w:left="1008" w:hanging="1008"/>
    </w:pPr>
    <w:rPr>
      <w:rFonts w:ascii="Arial" w:hAnsi="Arial" w:eastAsia="Arial" w:cs="Arial"/>
      <w:sz w:val="20"/>
      <w:szCs w:val="20"/>
    </w:rPr>
  </w:style>
  <w:style w:type="paragraph" w:styleId="7">
    <w:name w:val="heading 6"/>
    <w:basedOn w:val="1"/>
    <w:next w:val="1"/>
    <w:qFormat/>
    <w:uiPriority w:val="0"/>
    <w:pPr>
      <w:keepNext/>
      <w:keepLines/>
      <w:widowControl w:val="0"/>
      <w:tabs>
        <w:tab w:val="left" w:pos="720"/>
      </w:tabs>
      <w:spacing w:before="240" w:after="120" w:line="240" w:lineRule="auto"/>
      <w:ind w:left="1152" w:hanging="1152"/>
    </w:pPr>
    <w:rPr>
      <w:rFonts w:ascii="Arial" w:hAnsi="Arial" w:eastAsia="Arial" w:cs="Arial"/>
      <w:sz w:val="20"/>
      <w:szCs w:val="20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Subtitle"/>
    <w:basedOn w:val="1"/>
    <w:next w:val="1"/>
    <w:qFormat/>
    <w:uiPriority w:val="0"/>
    <w:pPr>
      <w:keepNext/>
      <w:keepLines/>
      <w:jc w:val="center"/>
    </w:pPr>
    <w:rPr>
      <w:color w:val="434343"/>
      <w:sz w:val="48"/>
      <w:szCs w:val="48"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3">
    <w:name w:val="Title"/>
    <w:basedOn w:val="1"/>
    <w:next w:val="1"/>
    <w:qFormat/>
    <w:uiPriority w:val="0"/>
    <w:pPr>
      <w:keepNext/>
      <w:keepLines/>
      <w:widowControl w:val="0"/>
      <w:jc w:val="center"/>
    </w:pPr>
    <w:rPr>
      <w:sz w:val="80"/>
      <w:szCs w:val="80"/>
    </w:rPr>
  </w:style>
  <w:style w:type="table" w:styleId="15">
    <w:name w:val="Table Grid"/>
    <w:basedOn w:val="1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llowedHyperlink"/>
    <w:basedOn w:val="16"/>
    <w:qFormat/>
    <w:uiPriority w:val="0"/>
    <w:rPr>
      <w:color w:val="800080"/>
      <w:u w:val="single"/>
    </w:rPr>
  </w:style>
  <w:style w:type="character" w:styleId="19">
    <w:name w:val="Hyperlink"/>
    <w:basedOn w:val="16"/>
    <w:qFormat/>
    <w:uiPriority w:val="0"/>
    <w:rPr>
      <w:color w:val="0000FF"/>
      <w:u w:val="single"/>
    </w:rPr>
  </w:style>
  <w:style w:type="character" w:styleId="20">
    <w:name w:val="HTML Code"/>
    <w:basedOn w:val="16"/>
    <w:qFormat/>
    <w:uiPriority w:val="0"/>
    <w:rPr>
      <w:rFonts w:ascii="Courier New" w:hAnsi="Courier New"/>
      <w:sz w:val="20"/>
    </w:rPr>
  </w:style>
  <w:style w:type="table" w:customStyle="1" w:styleId="21">
    <w:name w:val="Table Normal"/>
    <w:qFormat/>
    <w:uiPriority w:val="0"/>
  </w:style>
  <w:style w:type="table" w:customStyle="1" w:styleId="22">
    <w:name w:val="_Style 10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1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2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3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14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15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16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17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18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19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0"/>
    <w:basedOn w:val="21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3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Office_11.1.0.11365_F1E327BC-269C-435d-A152-05C5408002CA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2021-05-12T05:12:00Z</dcterms:created>
  <dc:creator>lenovo</dc:creator>
  <cp:lastModifiedBy>史琪</cp:lastModifiedBy>
  <dcterms:modified xsi:type="dcterms:W3CDTF">2022-03-11T09:25:56Z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4F9AD479E47443E4901AD735A4D96D25</vt:lpwstr>
  </property>
</Properties>
</file>