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02622"/>
        <w:docPartObj>
          <w:docPartGallery w:val="Cover Pages"/>
          <w:docPartUnique/>
        </w:docPartObj>
      </w:sdtPr>
      <w:sdtEndPr>
        <w:rPr>
          <w:rFonts w:ascii="Times New Roman" w:hAnsi="Times New Roman" w:cs="Times New Roman"/>
        </w:rPr>
      </w:sdtEndPr>
      <w:sdtContent>
        <w:p w14:paraId="78B7F309" w14:textId="2B94B134" w:rsidR="00800B81" w:rsidRDefault="00800B81">
          <w:r>
            <w:rPr>
              <w:noProof/>
            </w:rPr>
            <mc:AlternateContent>
              <mc:Choice Requires="wps">
                <w:drawing>
                  <wp:anchor distT="0" distB="0" distL="114300" distR="114300" simplePos="0" relativeHeight="251661312" behindDoc="0" locked="0" layoutInCell="1" allowOverlap="1" wp14:anchorId="43F3A2F2" wp14:editId="74BEEF5C">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0DA9BC9" w14:textId="58850FD9" w:rsidR="00800B81" w:rsidRPr="00800B81" w:rsidRDefault="00800B81" w:rsidP="00800B81">
                                    <w:pPr>
                                      <w:pStyle w:val="NoSpacing"/>
                                      <w:spacing w:after="480"/>
                                      <w:rPr>
                                        <w:i/>
                                        <w:color w:val="262626" w:themeColor="text1" w:themeTint="D9"/>
                                        <w:sz w:val="32"/>
                                        <w:szCs w:val="32"/>
                                      </w:rPr>
                                    </w:pPr>
                                    <w:r>
                                      <w:rPr>
                                        <w:i/>
                                        <w:color w:val="262626" w:themeColor="text1" w:themeTint="D9"/>
                                        <w:sz w:val="32"/>
                                        <w:szCs w:val="32"/>
                                      </w:rPr>
                                      <w:t>IT 520 – Spring 2024</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3F3A2F2"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40DA9BC9" w14:textId="58850FD9" w:rsidR="00800B81" w:rsidRPr="00800B81" w:rsidRDefault="00800B81" w:rsidP="00800B81">
                              <w:pPr>
                                <w:pStyle w:val="NoSpacing"/>
                                <w:spacing w:after="480"/>
                                <w:rPr>
                                  <w:i/>
                                  <w:color w:val="262626" w:themeColor="text1" w:themeTint="D9"/>
                                  <w:sz w:val="32"/>
                                  <w:szCs w:val="32"/>
                                </w:rPr>
                              </w:pPr>
                              <w:r>
                                <w:rPr>
                                  <w:i/>
                                  <w:color w:val="262626" w:themeColor="text1" w:themeTint="D9"/>
                                  <w:sz w:val="32"/>
                                  <w:szCs w:val="32"/>
                                </w:rPr>
                                <w:t>IT 520 – Spring 2024</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BF18745" wp14:editId="5BDF3CA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A0DFCD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E26C3AA" wp14:editId="502D00F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F257AAC" w14:textId="35AA7FEA" w:rsidR="00800B81" w:rsidRDefault="00800B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5 US regulations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DFF3BF" w14:textId="17018367" w:rsidR="00800B81" w:rsidRDefault="00800B81">
                                    <w:pPr>
                                      <w:pStyle w:val="NoSpacing"/>
                                      <w:rPr>
                                        <w:i/>
                                        <w:color w:val="262626" w:themeColor="text1" w:themeTint="D9"/>
                                        <w:sz w:val="36"/>
                                        <w:szCs w:val="36"/>
                                      </w:rPr>
                                    </w:pPr>
                                    <w:r>
                                      <w:rPr>
                                        <w:color w:val="262626" w:themeColor="text1" w:themeTint="D9"/>
                                        <w:sz w:val="36"/>
                                        <w:szCs w:val="36"/>
                                      </w:rPr>
                                      <w:t>Semester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E26C3AA"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F257AAC" w14:textId="35AA7FEA" w:rsidR="00800B81" w:rsidRDefault="00800B8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5 US regulations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DFF3BF" w14:textId="17018367" w:rsidR="00800B81" w:rsidRDefault="00800B81">
                              <w:pPr>
                                <w:pStyle w:val="NoSpacing"/>
                                <w:rPr>
                                  <w:i/>
                                  <w:color w:val="262626" w:themeColor="text1" w:themeTint="D9"/>
                                  <w:sz w:val="36"/>
                                  <w:szCs w:val="36"/>
                                </w:rPr>
                              </w:pPr>
                              <w:r>
                                <w:rPr>
                                  <w:color w:val="262626" w:themeColor="text1" w:themeTint="D9"/>
                                  <w:sz w:val="36"/>
                                  <w:szCs w:val="36"/>
                                </w:rPr>
                                <w:t>Semester Project</w:t>
                              </w:r>
                            </w:p>
                          </w:sdtContent>
                        </w:sdt>
                      </w:txbxContent>
                    </v:textbox>
                    <w10:wrap anchorx="page" anchory="page"/>
                  </v:shape>
                </w:pict>
              </mc:Fallback>
            </mc:AlternateContent>
          </w:r>
        </w:p>
        <w:p w14:paraId="3E2D90DF" w14:textId="6989C928" w:rsidR="00800B81" w:rsidRDefault="00800B81">
          <w:pPr>
            <w:rPr>
              <w:rFonts w:ascii="Times New Roman" w:hAnsi="Times New Roman" w:cs="Times New Roman"/>
            </w:rPr>
          </w:pPr>
          <w:r>
            <w:rPr>
              <w:rFonts w:ascii="Times New Roman" w:hAnsi="Times New Roman" w:cs="Times New Roman"/>
            </w:rPr>
            <w:br w:type="page"/>
          </w:r>
        </w:p>
      </w:sdtContent>
    </w:sdt>
    <w:p w14:paraId="0972FDF7" w14:textId="34B27B36" w:rsidR="003657E9"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lastRenderedPageBreak/>
        <w:t>Introduction</w:t>
      </w:r>
    </w:p>
    <w:p w14:paraId="1B859A37"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In the complex and rapidly evolving landscape of information security and privacy, understanding key U.S. regulations is essential for business leaders. These regulations, which range from privacy protection to anti-fraud measures, play a critical role in shaping the operations and strategies of companies across industries. They are not only legal requirements but also serve as foundational elements in establishing trust and credibility with stakeholders. Company leadership must prioritize compliance not only to avoid legal repercussions but also to safeguard their company’s reputation and ensure long-term success (Sarbanes &amp; Oxley, 2002).</w:t>
      </w:r>
    </w:p>
    <w:p w14:paraId="6F79ED45" w14:textId="77777777" w:rsidR="003657E9" w:rsidRPr="003657E9" w:rsidRDefault="003657E9" w:rsidP="003657E9">
      <w:pPr>
        <w:spacing w:line="480" w:lineRule="auto"/>
        <w:rPr>
          <w:rFonts w:ascii="Times New Roman" w:hAnsi="Times New Roman" w:cs="Times New Roman"/>
        </w:rPr>
      </w:pPr>
    </w:p>
    <w:p w14:paraId="3390603C"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The regulations such as the Privacy Act of 1974, Electronic Communications Privacy Act of 1986, Economic Espionage Act of 1996, Sarbanes-Oxley Act, and the Payment Card Industry Data Security Standard (PCI DSS) cover various aspects of information security and data protection. These laws and standards were enacted to address specific risks and vulnerabilities in different periods and technological contexts, reflecting the evolving challenges that businesses face in the digital age. Understanding these regulations helps leaders not only comply with legal standards but also align their business practices with ethical considerations and consumer expectations (PCI Security Standards Council, 2018).</w:t>
      </w:r>
    </w:p>
    <w:p w14:paraId="44C8B47D" w14:textId="77777777" w:rsidR="003657E9" w:rsidRPr="003657E9" w:rsidRDefault="003657E9" w:rsidP="003657E9">
      <w:pPr>
        <w:spacing w:line="480" w:lineRule="auto"/>
        <w:rPr>
          <w:rFonts w:ascii="Times New Roman" w:hAnsi="Times New Roman" w:cs="Times New Roman"/>
        </w:rPr>
      </w:pPr>
    </w:p>
    <w:p w14:paraId="4A3D9074" w14:textId="77777777" w:rsidR="00800B81"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t>Detailed Overview of Key US Regulations</w:t>
      </w:r>
    </w:p>
    <w:p w14:paraId="210FB373" w14:textId="5A8C0F8E" w:rsidR="003657E9" w:rsidRPr="00800B81" w:rsidRDefault="003657E9" w:rsidP="003657E9">
      <w:pPr>
        <w:spacing w:line="480" w:lineRule="auto"/>
        <w:rPr>
          <w:rFonts w:ascii="Times New Roman" w:hAnsi="Times New Roman" w:cs="Times New Roman"/>
          <w:b/>
          <w:bCs/>
          <w:sz w:val="28"/>
          <w:szCs w:val="28"/>
        </w:rPr>
      </w:pPr>
      <w:r w:rsidRPr="003657E9">
        <w:rPr>
          <w:rFonts w:ascii="Times New Roman" w:hAnsi="Times New Roman" w:cs="Times New Roman"/>
        </w:rPr>
        <w:t xml:space="preserve"> </w:t>
      </w:r>
      <w:r w:rsidRPr="00800B81">
        <w:rPr>
          <w:rFonts w:ascii="Times New Roman" w:hAnsi="Times New Roman" w:cs="Times New Roman"/>
          <w:b/>
          <w:bCs/>
          <w:sz w:val="28"/>
          <w:szCs w:val="28"/>
        </w:rPr>
        <w:t>Privacy Act of 1974</w:t>
      </w:r>
    </w:p>
    <w:p w14:paraId="72640144" w14:textId="77777777" w:rsidR="003657E9" w:rsidRPr="003657E9" w:rsidRDefault="003657E9" w:rsidP="003657E9">
      <w:pPr>
        <w:spacing w:line="480" w:lineRule="auto"/>
        <w:rPr>
          <w:rFonts w:ascii="Times New Roman" w:hAnsi="Times New Roman" w:cs="Times New Roman"/>
        </w:rPr>
      </w:pPr>
    </w:p>
    <w:p w14:paraId="01917A47"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 xml:space="preserve">What it does: The Privacy Act of 1974 regulates the collection, maintenance, use, and dissemination of personally identifiable information about individuals that is maintained in </w:t>
      </w:r>
      <w:r w:rsidRPr="003657E9">
        <w:rPr>
          <w:rFonts w:ascii="Times New Roman" w:hAnsi="Times New Roman" w:cs="Times New Roman"/>
        </w:rPr>
        <w:lastRenderedPageBreak/>
        <w:t>systems of records by federal agencies. This act requires agencies to give public notice of their records systems, prohibits unauthorized disclosures of the records maintained, and provides individuals with a mechanism to access and amend their records.</w:t>
      </w:r>
    </w:p>
    <w:p w14:paraId="450CB0E9"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Why it exists: This act was established to protect individuals against unwarranted invasions of their privacy stemming from federal agencies' collection, use, and disclosure of personal information.</w:t>
      </w:r>
    </w:p>
    <w:p w14:paraId="12EBC08D"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Who it protects: It primarily protects U.S. citizens and legal permanent residents from privacy invasions by federal agencies.</w:t>
      </w:r>
    </w:p>
    <w:p w14:paraId="7946A15C" w14:textId="2860AEFC" w:rsidR="003657E9"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t>Electronic Communications Privacy Act of 1986 (ECPA)</w:t>
      </w:r>
    </w:p>
    <w:p w14:paraId="25A932D8" w14:textId="77777777" w:rsidR="003657E9" w:rsidRPr="003657E9" w:rsidRDefault="003657E9" w:rsidP="003657E9">
      <w:pPr>
        <w:spacing w:line="480" w:lineRule="auto"/>
        <w:rPr>
          <w:rFonts w:ascii="Times New Roman" w:hAnsi="Times New Roman" w:cs="Times New Roman"/>
        </w:rPr>
      </w:pPr>
    </w:p>
    <w:p w14:paraId="67105C03"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What it does: The ECPA extends government restrictions on wire taps from telephone calls to include transmissions of electronic data by computer, while also adding new provisions against access to stored electronic communications, unauthorized surveillance, and the interception of electronic communications.</w:t>
      </w:r>
    </w:p>
    <w:p w14:paraId="79A6CD3B"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Why it exists: Enacted in response to the rise in digital electronic communication, this act aims to protect individuals' privacy in electronic communications while balancing legitimate government interests.</w:t>
      </w:r>
    </w:p>
    <w:p w14:paraId="0F1C5117"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Who it protects: It protects all parties who engage in electronic communication from unauthorized surveillance and data interception.</w:t>
      </w:r>
    </w:p>
    <w:p w14:paraId="4C5F8E2F" w14:textId="71C44EB3" w:rsidR="003657E9"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t>Economic Espionage Act of 1996</w:t>
      </w:r>
    </w:p>
    <w:p w14:paraId="08DE8F13" w14:textId="77777777" w:rsidR="003657E9" w:rsidRPr="003657E9" w:rsidRDefault="003657E9" w:rsidP="003657E9">
      <w:pPr>
        <w:spacing w:line="480" w:lineRule="auto"/>
        <w:rPr>
          <w:rFonts w:ascii="Times New Roman" w:hAnsi="Times New Roman" w:cs="Times New Roman"/>
        </w:rPr>
      </w:pPr>
    </w:p>
    <w:p w14:paraId="5D2371E4"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lastRenderedPageBreak/>
        <w:t>What it does: This act makes the theft or misappropriation of a trade secret a federal crime. It is focused particularly on protecting commercial secrets against theft for the benefit of foreign governments, foreign agents, or foreign corporations.</w:t>
      </w:r>
    </w:p>
    <w:p w14:paraId="33D51531"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Why it exists: This law was enacted to bolster the security of U.S. economic interests by penalizing the theft of trade secrets, especially when such theft benefits foreign entities.</w:t>
      </w:r>
    </w:p>
    <w:p w14:paraId="109AB8B8"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Who it protects: It protects businesses, particularly industries with valuable intellectual properties, from economic espionage.</w:t>
      </w:r>
    </w:p>
    <w:p w14:paraId="1AAD1C00" w14:textId="09411093" w:rsidR="003657E9"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t>Sarbanes-Oxley Act</w:t>
      </w:r>
    </w:p>
    <w:p w14:paraId="7E17E577" w14:textId="77777777" w:rsidR="003657E9" w:rsidRPr="003657E9" w:rsidRDefault="003657E9" w:rsidP="003657E9">
      <w:pPr>
        <w:spacing w:line="480" w:lineRule="auto"/>
        <w:rPr>
          <w:rFonts w:ascii="Times New Roman" w:hAnsi="Times New Roman" w:cs="Times New Roman"/>
        </w:rPr>
      </w:pPr>
    </w:p>
    <w:p w14:paraId="75CB12A5"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What it does: Often abbreviated as SOX, this act mandates strict reforms to improve financial disclosures from corporations and prevent accounting fraud. It includes provisions such as enhancing internal controls and procedures for financial reporting to ensure the accuracy and integrity of corporate data.</w:t>
      </w:r>
    </w:p>
    <w:p w14:paraId="0A972CEB"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Why it exists: SOX was enacted in response to the major corporate and accounting scandals including those affecting Enron and WorldCom, which cost investors billions of dollars when the share prices of affected companies collapsed.</w:t>
      </w:r>
    </w:p>
    <w:p w14:paraId="64A2F947" w14:textId="558A5CC3"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 xml:space="preserve">Who it protects: It protects shareholders and the </w:t>
      </w:r>
      <w:r w:rsidR="00800B81" w:rsidRPr="003657E9">
        <w:rPr>
          <w:rFonts w:ascii="Times New Roman" w:hAnsi="Times New Roman" w:cs="Times New Roman"/>
        </w:rPr>
        <w:t>public</w:t>
      </w:r>
      <w:r w:rsidRPr="003657E9">
        <w:rPr>
          <w:rFonts w:ascii="Times New Roman" w:hAnsi="Times New Roman" w:cs="Times New Roman"/>
        </w:rPr>
        <w:t xml:space="preserve"> from accounting errors and fraudulent financial practices.</w:t>
      </w:r>
    </w:p>
    <w:p w14:paraId="5B4204B0" w14:textId="1BF96304" w:rsidR="003657E9" w:rsidRPr="00800B81" w:rsidRDefault="003657E9" w:rsidP="003657E9">
      <w:pPr>
        <w:spacing w:line="480" w:lineRule="auto"/>
        <w:rPr>
          <w:rFonts w:ascii="Times New Roman" w:hAnsi="Times New Roman" w:cs="Times New Roman"/>
          <w:b/>
          <w:bCs/>
          <w:sz w:val="28"/>
          <w:szCs w:val="28"/>
        </w:rPr>
      </w:pPr>
      <w:r w:rsidRPr="00800B81">
        <w:rPr>
          <w:rFonts w:ascii="Times New Roman" w:hAnsi="Times New Roman" w:cs="Times New Roman"/>
          <w:b/>
          <w:bCs/>
          <w:sz w:val="28"/>
          <w:szCs w:val="28"/>
        </w:rPr>
        <w:t>Payment Card Industry Data Security Standard (PCI DSS)</w:t>
      </w:r>
    </w:p>
    <w:p w14:paraId="0EBAC35C" w14:textId="77777777" w:rsidR="003657E9" w:rsidRPr="003657E9" w:rsidRDefault="003657E9" w:rsidP="003657E9">
      <w:pPr>
        <w:spacing w:line="480" w:lineRule="auto"/>
        <w:rPr>
          <w:rFonts w:ascii="Times New Roman" w:hAnsi="Times New Roman" w:cs="Times New Roman"/>
        </w:rPr>
      </w:pPr>
    </w:p>
    <w:p w14:paraId="2DE557B8"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What it does: PCI DSS is a set of security standards designed to ensure that all companies that accept, process, store or transmit credit card information maintain a secure environment.</w:t>
      </w:r>
    </w:p>
    <w:p w14:paraId="526309A1"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lastRenderedPageBreak/>
        <w:t>Why it exists: The standard was created to increase controls around cardholder data to reduce credit card fraud.</w:t>
      </w:r>
    </w:p>
    <w:p w14:paraId="3C7552E2"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Who it protects: It protects cardholders from credit card theft and fraud.</w:t>
      </w:r>
    </w:p>
    <w:p w14:paraId="7BF9896E"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Summary</w:t>
      </w:r>
    </w:p>
    <w:p w14:paraId="2F1A3F4B" w14:textId="77777777"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Understanding and implementing these key regulations is crucial for company leadership to maintain compliance, ensure operational integrity, and protect their organization from legal and financial penalties. Each regulation not only addresses specific facets of operational security and data protection but also reflects broader societal and consumer expectations regarding privacy and ethical business practices. Leaders must consider these regulations in their strategic planning to not only avert potential risks but also to build a resilient and trustworthy organization (Sarbanes &amp; Oxley, 2002).</w:t>
      </w:r>
    </w:p>
    <w:p w14:paraId="1CFADD2A" w14:textId="77777777" w:rsidR="003657E9" w:rsidRPr="003657E9" w:rsidRDefault="003657E9" w:rsidP="003657E9">
      <w:pPr>
        <w:spacing w:line="480" w:lineRule="auto"/>
        <w:rPr>
          <w:rFonts w:ascii="Times New Roman" w:hAnsi="Times New Roman" w:cs="Times New Roman"/>
        </w:rPr>
      </w:pPr>
    </w:p>
    <w:p w14:paraId="391521AB" w14:textId="5F036195" w:rsidR="00F15EB0"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In today’s digital economy, a lapse in compliance can lead to significant reputational damage and financial loss. As such, leaders need to be proactive in understanding the implications of these regulations, integrating them into their corporate governance, and ensuring ongoing compliance. This commitment not only fulfills legal obligations but also significantly enhances the company's standing with stakeholders, including customers, employees, and shareholders, fostering a culture of transparency and security (PCI Security Standards Council, 2018)</w:t>
      </w:r>
    </w:p>
    <w:p w14:paraId="29865FC4" w14:textId="77777777" w:rsidR="003657E9" w:rsidRPr="003657E9" w:rsidRDefault="003657E9" w:rsidP="003657E9">
      <w:pPr>
        <w:spacing w:line="480" w:lineRule="auto"/>
        <w:rPr>
          <w:rFonts w:ascii="Times New Roman" w:hAnsi="Times New Roman" w:cs="Times New Roman"/>
        </w:rPr>
      </w:pPr>
    </w:p>
    <w:p w14:paraId="2FE55A21" w14:textId="77777777" w:rsidR="00800B81" w:rsidRDefault="00800B81" w:rsidP="003657E9">
      <w:pPr>
        <w:spacing w:line="480" w:lineRule="auto"/>
        <w:rPr>
          <w:rFonts w:ascii="Times New Roman" w:hAnsi="Times New Roman" w:cs="Times New Roman"/>
        </w:rPr>
      </w:pPr>
    </w:p>
    <w:p w14:paraId="265CC172" w14:textId="77777777" w:rsidR="00800B81" w:rsidRDefault="00800B81" w:rsidP="003657E9">
      <w:pPr>
        <w:spacing w:line="480" w:lineRule="auto"/>
        <w:rPr>
          <w:rFonts w:ascii="Times New Roman" w:hAnsi="Times New Roman" w:cs="Times New Roman"/>
        </w:rPr>
      </w:pPr>
    </w:p>
    <w:p w14:paraId="79268BD1" w14:textId="77777777" w:rsidR="00800B81" w:rsidRDefault="00800B81" w:rsidP="003657E9">
      <w:pPr>
        <w:spacing w:line="480" w:lineRule="auto"/>
        <w:rPr>
          <w:rFonts w:ascii="Times New Roman" w:hAnsi="Times New Roman" w:cs="Times New Roman"/>
        </w:rPr>
      </w:pPr>
    </w:p>
    <w:p w14:paraId="54E0EBB0" w14:textId="77777777" w:rsidR="00800B81" w:rsidRDefault="00800B81" w:rsidP="003657E9">
      <w:pPr>
        <w:spacing w:line="480" w:lineRule="auto"/>
        <w:rPr>
          <w:rFonts w:ascii="Times New Roman" w:hAnsi="Times New Roman" w:cs="Times New Roman"/>
        </w:rPr>
      </w:pPr>
    </w:p>
    <w:p w14:paraId="547E9EDE" w14:textId="77777777" w:rsidR="00800B81" w:rsidRDefault="00800B81" w:rsidP="003657E9">
      <w:pPr>
        <w:spacing w:line="480" w:lineRule="auto"/>
        <w:rPr>
          <w:rFonts w:ascii="Times New Roman" w:hAnsi="Times New Roman" w:cs="Times New Roman"/>
        </w:rPr>
      </w:pPr>
    </w:p>
    <w:p w14:paraId="07B216E3" w14:textId="53BEA9A2" w:rsidR="003657E9" w:rsidRPr="003657E9" w:rsidRDefault="003657E9" w:rsidP="003657E9">
      <w:pPr>
        <w:spacing w:line="480" w:lineRule="auto"/>
        <w:rPr>
          <w:rFonts w:ascii="Times New Roman" w:hAnsi="Times New Roman" w:cs="Times New Roman"/>
        </w:rPr>
      </w:pPr>
      <w:r w:rsidRPr="003657E9">
        <w:rPr>
          <w:rFonts w:ascii="Times New Roman" w:hAnsi="Times New Roman" w:cs="Times New Roman"/>
        </w:rPr>
        <w:t>References</w:t>
      </w:r>
    </w:p>
    <w:p w14:paraId="5AF9FDFD" w14:textId="7D05BEFF" w:rsidR="003657E9" w:rsidRDefault="003657E9" w:rsidP="003657E9">
      <w:pPr>
        <w:spacing w:line="480" w:lineRule="auto"/>
        <w:rPr>
          <w:rFonts w:ascii="Times New Roman" w:hAnsi="Times New Roman" w:cs="Times New Roman"/>
        </w:rPr>
      </w:pPr>
      <w:r w:rsidRPr="003657E9">
        <w:rPr>
          <w:rFonts w:ascii="Times New Roman" w:hAnsi="Times New Roman" w:cs="Times New Roman"/>
        </w:rPr>
        <w:t xml:space="preserve">PCI Security Standards Council. (2018). PCI DSS Quick Reference Guide. Retrieved from </w:t>
      </w:r>
      <w:hyperlink r:id="rId4" w:history="1">
        <w:r w:rsidR="00800B81" w:rsidRPr="00A41482">
          <w:rPr>
            <w:rStyle w:val="Hyperlink"/>
            <w:rFonts w:ascii="Times New Roman" w:hAnsi="Times New Roman" w:cs="Times New Roman"/>
          </w:rPr>
          <w:t>https://www.pcisecuritystandards.org</w:t>
        </w:r>
      </w:hyperlink>
    </w:p>
    <w:p w14:paraId="26246430" w14:textId="77777777" w:rsidR="00800B81" w:rsidRPr="003657E9" w:rsidRDefault="00800B81" w:rsidP="003657E9">
      <w:pPr>
        <w:spacing w:line="480" w:lineRule="auto"/>
        <w:rPr>
          <w:rFonts w:ascii="Times New Roman" w:hAnsi="Times New Roman" w:cs="Times New Roman"/>
        </w:rPr>
      </w:pPr>
    </w:p>
    <w:p w14:paraId="6820C17C" w14:textId="63534E0A" w:rsidR="003657E9" w:rsidRDefault="003657E9" w:rsidP="003657E9">
      <w:pPr>
        <w:spacing w:line="480" w:lineRule="auto"/>
        <w:rPr>
          <w:rFonts w:ascii="Times New Roman" w:hAnsi="Times New Roman" w:cs="Times New Roman"/>
        </w:rPr>
      </w:pPr>
      <w:r w:rsidRPr="003657E9">
        <w:rPr>
          <w:rFonts w:ascii="Times New Roman" w:hAnsi="Times New Roman" w:cs="Times New Roman"/>
        </w:rPr>
        <w:t xml:space="preserve">Sarbanes, P., &amp; Oxley, M. (2002). Sarbanes-Oxley Act of 2002. Public Law 107-204. Retrieved from </w:t>
      </w:r>
      <w:hyperlink r:id="rId5" w:history="1">
        <w:r w:rsidR="00800B81" w:rsidRPr="00A41482">
          <w:rPr>
            <w:rStyle w:val="Hyperlink"/>
            <w:rFonts w:ascii="Times New Roman" w:hAnsi="Times New Roman" w:cs="Times New Roman"/>
          </w:rPr>
          <w:t>https://www.congress.gov</w:t>
        </w:r>
      </w:hyperlink>
    </w:p>
    <w:p w14:paraId="113B8A20" w14:textId="77777777" w:rsidR="00800B81" w:rsidRPr="003657E9" w:rsidRDefault="00800B81" w:rsidP="003657E9">
      <w:pPr>
        <w:spacing w:line="480" w:lineRule="auto"/>
        <w:rPr>
          <w:rFonts w:ascii="Times New Roman" w:hAnsi="Times New Roman" w:cs="Times New Roman"/>
        </w:rPr>
      </w:pPr>
    </w:p>
    <w:sectPr w:rsidR="00800B81" w:rsidRPr="003657E9" w:rsidSect="00800B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E9"/>
    <w:rsid w:val="00186945"/>
    <w:rsid w:val="003657E9"/>
    <w:rsid w:val="006669E7"/>
    <w:rsid w:val="00800B81"/>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6CD5"/>
  <w15:chartTrackingRefBased/>
  <w15:docId w15:val="{C9FA4A85-7F3E-E042-BED5-F048687B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E9"/>
    <w:rPr>
      <w:rFonts w:eastAsiaTheme="majorEastAsia" w:cstheme="majorBidi"/>
      <w:color w:val="272727" w:themeColor="text1" w:themeTint="D8"/>
    </w:rPr>
  </w:style>
  <w:style w:type="paragraph" w:styleId="Title">
    <w:name w:val="Title"/>
    <w:basedOn w:val="Normal"/>
    <w:next w:val="Normal"/>
    <w:link w:val="TitleChar"/>
    <w:uiPriority w:val="10"/>
    <w:qFormat/>
    <w:rsid w:val="003657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57E9"/>
    <w:rPr>
      <w:i/>
      <w:iCs/>
      <w:color w:val="404040" w:themeColor="text1" w:themeTint="BF"/>
    </w:rPr>
  </w:style>
  <w:style w:type="paragraph" w:styleId="ListParagraph">
    <w:name w:val="List Paragraph"/>
    <w:basedOn w:val="Normal"/>
    <w:uiPriority w:val="34"/>
    <w:qFormat/>
    <w:rsid w:val="003657E9"/>
    <w:pPr>
      <w:ind w:left="720"/>
      <w:contextualSpacing/>
    </w:pPr>
  </w:style>
  <w:style w:type="character" w:styleId="IntenseEmphasis">
    <w:name w:val="Intense Emphasis"/>
    <w:basedOn w:val="DefaultParagraphFont"/>
    <w:uiPriority w:val="21"/>
    <w:qFormat/>
    <w:rsid w:val="003657E9"/>
    <w:rPr>
      <w:i/>
      <w:iCs/>
      <w:color w:val="0F4761" w:themeColor="accent1" w:themeShade="BF"/>
    </w:rPr>
  </w:style>
  <w:style w:type="paragraph" w:styleId="IntenseQuote">
    <w:name w:val="Intense Quote"/>
    <w:basedOn w:val="Normal"/>
    <w:next w:val="Normal"/>
    <w:link w:val="IntenseQuoteChar"/>
    <w:uiPriority w:val="30"/>
    <w:qFormat/>
    <w:rsid w:val="00365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E9"/>
    <w:rPr>
      <w:i/>
      <w:iCs/>
      <w:color w:val="0F4761" w:themeColor="accent1" w:themeShade="BF"/>
    </w:rPr>
  </w:style>
  <w:style w:type="character" w:styleId="IntenseReference">
    <w:name w:val="Intense Reference"/>
    <w:basedOn w:val="DefaultParagraphFont"/>
    <w:uiPriority w:val="32"/>
    <w:qFormat/>
    <w:rsid w:val="003657E9"/>
    <w:rPr>
      <w:b/>
      <w:bCs/>
      <w:smallCaps/>
      <w:color w:val="0F4761" w:themeColor="accent1" w:themeShade="BF"/>
      <w:spacing w:val="5"/>
    </w:rPr>
  </w:style>
  <w:style w:type="paragraph" w:styleId="NoSpacing">
    <w:name w:val="No Spacing"/>
    <w:link w:val="NoSpacingChar"/>
    <w:uiPriority w:val="1"/>
    <w:qFormat/>
    <w:rsid w:val="00800B8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800B81"/>
    <w:rPr>
      <w:rFonts w:eastAsiaTheme="minorEastAsia"/>
      <w:kern w:val="0"/>
      <w:sz w:val="22"/>
      <w:szCs w:val="22"/>
      <w:lang w:eastAsia="zh-CN"/>
      <w14:ligatures w14:val="none"/>
    </w:rPr>
  </w:style>
  <w:style w:type="character" w:styleId="Hyperlink">
    <w:name w:val="Hyperlink"/>
    <w:basedOn w:val="DefaultParagraphFont"/>
    <w:uiPriority w:val="99"/>
    <w:unhideWhenUsed/>
    <w:rsid w:val="00800B81"/>
    <w:rPr>
      <w:color w:val="467886" w:themeColor="hyperlink"/>
      <w:u w:val="single"/>
    </w:rPr>
  </w:style>
  <w:style w:type="character" w:styleId="UnresolvedMention">
    <w:name w:val="Unresolved Mention"/>
    <w:basedOn w:val="DefaultParagraphFont"/>
    <w:uiPriority w:val="99"/>
    <w:semiHidden/>
    <w:unhideWhenUsed/>
    <w:rsid w:val="00800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gress.gov" TargetMode="External"/><Relationship Id="rId4" Type="http://schemas.openxmlformats.org/officeDocument/2006/relationships/hyperlink" Target="https://www.pcisecuritystand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US regulations</dc:title>
  <dc:subject>Semester Project</dc:subject>
  <dc:creator>IT 520 – Spring 2024</dc:creator>
  <cp:keywords/>
  <dc:description/>
  <cp:lastModifiedBy>Michael Ranola</cp:lastModifiedBy>
  <cp:revision>2</cp:revision>
  <dcterms:created xsi:type="dcterms:W3CDTF">2024-06-06T02:29:00Z</dcterms:created>
  <dcterms:modified xsi:type="dcterms:W3CDTF">2024-06-06T02:37:00Z</dcterms:modified>
</cp:coreProperties>
</file>