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citizenM Digital &amp; Technology Strategy 2025-2027</w:t>
      </w:r>
    </w:p>
    <w:p>
      <w:r>
        <w:rPr>
          <w:i/>
          <w:iCs/>
          <w:color w:val="888888"/>
        </w:rPr>
        <w:t xml:space="preserve">Chief Digital Officer  |  Approved by Executive Committee  |  Q1 2026</w:t>
      </w:r>
    </w:p>
    <w:p>
      <w:r>
        <w:t xml:space="preserve"/>
      </w:r>
    </w:p>
    <w:p>
      <w:pPr>
        <w:pStyle w:val="Heading2"/>
      </w:pPr>
      <w:r>
        <w:t xml:space="preserve">Our Technology Conviction</w:t>
      </w:r>
    </w:p>
    <w:p>
      <w:r>
        <w:t xml:space="preserve">citizenM is a technology company that happens to run hotels. Our competitive advantage is not our locations — it is our stack. Every operational decision is mediated by software, and every repeatable decision is a candidate for AI agent automation.</w:t>
      </w:r>
    </w:p>
    <w:p>
      <w:r>
        <w:t xml:space="preserve"/>
      </w:r>
    </w:p>
    <w:p>
      <w:pPr>
        <w:pStyle w:val="Heading2"/>
      </w:pPr>
      <w:r>
        <w:t xml:space="preserve">The AI-First Principle</w:t>
      </w:r>
    </w:p>
    <w:p>
      <w:r>
        <w:t xml:space="preserve">From 2025 onwards, citizenM operates on an AI-first principle: every repeatable operational decision is automated. Every manual approval workflow is a candidate for elimination. Our citizenmakers handle exceptions, relationships, and human moments.</w:t>
      </w:r>
    </w:p>
    <w:p>
      <w:r>
        <w:t xml:space="preserve"/>
      </w:r>
    </w:p>
    <w:p>
      <w:pPr>
        <w:pStyle w:val="Heading2"/>
      </w:pPr>
      <w:r>
        <w:t xml:space="preserve">VDA-MD — Our Governance Framework</w:t>
      </w:r>
    </w:p>
    <w:p>
      <w:r>
        <w:t xml:space="preserve">Every AI agent at citizenM operates under a plain-text Markdown governance file. Domain owners write and approve these files. Agents are governed by MUST, MUST NOT, and MAY rules. Every decision is logged to the Witness Agent audit trail.</w:t>
      </w:r>
    </w:p>
    <w:p>
      <w:r>
        <w:t xml:space="preserve"/>
      </w:r>
    </w:p>
    <w:p>
      <w:pPr>
        <w:pStyle w:val="ListParagraph"/>
        <w:numPr>
          <w:ilvl w:val="0"/>
          <w:numId w:val="2"/>
        </w:numPr>
      </w:pPr>
      <w:r>
        <w:t xml:space="preserve">All governance files are authored in VDA-MD format and version-controlled in Git</w:t>
      </w:r>
    </w:p>
    <w:p>
      <w:pPr>
        <w:pStyle w:val="ListParagraph"/>
        <w:numPr>
          <w:ilvl w:val="0"/>
          <w:numId w:val="2"/>
        </w:numPr>
      </w:pPr>
      <w:r>
        <w:t xml:space="preserve">NIST SP 800-53 controls are translated to citizenM .md files via the C2MD pipeline</w:t>
      </w:r>
    </w:p>
    <w:p>
      <w:pPr>
        <w:pStyle w:val="ListParagraph"/>
        <w:numPr>
          <w:ilvl w:val="0"/>
          <w:numId w:val="2"/>
        </w:numPr>
      </w:pPr>
      <w:r>
        <w:t xml:space="preserve">Exceptions are formal exception overlays, not ad-hoc Slack approvals</w:t>
      </w:r>
    </w:p>
    <w:p>
      <w:pPr>
        <w:pStyle w:val="ListParagraph"/>
        <w:numPr>
          <w:ilvl w:val="0"/>
          <w:numId w:val="2"/>
        </w:numPr>
      </w:pPr>
      <w:r>
        <w:t xml:space="preserve">The Witness Agent provides tamper-evident audit entries for every agent decision</w:t>
      </w:r>
    </w:p>
    <w:p>
      <w:r>
        <w:t xml:space="preserve"/>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2"/>
                <w:szCs w:val="22"/>
              </w:rPr>
              <w:t xml:space="preserve">Function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2"/>
                <w:szCs w:val="22"/>
              </w:rPr>
              <w:t xml:space="preserve">System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2"/>
                <w:szCs w:val="22"/>
              </w:rPr>
              <w:t xml:space="preserve">Domain Owner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Property Management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cloudM PMS (proprietary)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Operations Director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HR &amp; People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Workday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Chief People Officer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CRM &amp; Accounts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Salesforce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VP Revenue / CX Director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Finance &amp; Procurement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SAP</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CFO</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Guest Loyalty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citizenM App</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Chief Digital Officer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Internal Comms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Slack + Confluence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2"/>
                <w:szCs w:val="22"/>
              </w:rPr>
              <w:t xml:space="preserve">All Domains</w:t>
            </w:r>
          </w:p>
        </w:tc>
      </w:tr>
    </w:tbl>
    <w:p>
      <w:r>
        <w:t xml:space="preserve"/>
      </w:r>
    </w:p>
    <w:p>
      <w:pPr>
        <w:pStyle w:val="Heading2"/>
      </w:pPr>
      <w:r>
        <w:t xml:space="preserve">Preferred Tech Supplier Programme</w:t>
      </w:r>
    </w:p>
    <w:p>
      <w:r>
        <w:t xml:space="preserve">The citizenM Preferred Tech Supplier List (EMEA) is maintained by the Digital &amp; Technology team. Suppliers on this list have completed security assessments, hold current DPAs, and have demonstrated sustained quality. Procurement up to 75,000 EUR for Preferred Tech EMEA suppliers may be approved at Operations Director level without three-quote requirement.</w:t>
      </w:r>
    </w:p>
    <w:p>
      <w:r>
        <w:t xml:space="preserve"/>
      </w:r>
    </w:p>
    <w:p>
      <w:pPr>
        <w:pStyle w:val="Heading2"/>
      </w:pPr>
      <w:r>
        <w:t xml:space="preserve">Security &amp; Compliance</w:t>
      </w:r>
    </w:p>
    <w:p>
      <w:r>
        <w:t xml:space="preserve">All AI systems at citizenM are classified by risk level under EU AI Act Article 9 risk management requirements. High-risk systems require human oversight mechanisms per Article 14. All AI decisions are logged per Article 12 record-keeping requirements.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E85D2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2026-03-20T12:08:54.761Z</dcterms:created>
  <dcterms:modified xsi:type="dcterms:W3CDTF">2026-03-20T12:08:54.761Z</dcterms:modified>
</cp:coreProperties>
</file>

<file path=docProps/custom.xml><?xml version="1.0" encoding="utf-8"?>
<Properties xmlns="http://schemas.openxmlformats.org/officeDocument/2006/custom-properties" xmlns:vt="http://schemas.openxmlformats.org/officeDocument/2006/docPropsVTypes"/>
</file>