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drawing>
          <wp:inline distT="0" distB="0" distL="0" distR="0">
            <wp:extent cx="123825" cy="12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b/>
          <w:bCs/>
          <w:color w:val="8189A3"/>
          <w:spacing w:val="30"/>
          <w:sz w:val="16"/>
          <w:szCs w:val="16"/>
        </w:rPr>
        <w:t xml:space="preserve">GEMINI · MATERIAL DE LA CAPACITACIÓN</w:t>
      </w:r>
    </w:p>
    <w:p>
      <w:pPr>
        <w:pStyle w:val="Heading1"/>
      </w:pPr>
      <w:r>
        <w:t xml:space="preserve">Plantilla de Gem</w:t>
      </w:r>
    </w:p>
    <w:p>
      <w:pPr>
        <w:spacing w:after="120" w:line="300"/>
      </w:pPr>
      <w:r>
        <w:rPr>
          <w:color w:val="565F7A"/>
          <w:sz w:val="20"/>
          <w:szCs w:val="20"/>
        </w:rPr>
        <w:t xml:space="preserve">Un Gem es Gemini con instrucciones fijas y con los archivos de Drive que le indiques. Se arma una vez y el área entera trabaja con el mismo criterio, en vez de que cada quien reescriba su prompt cada mañana.</w:t>
      </w:r>
    </w:p>
    <w:p>
      <w:pPr>
        <w:spacing w:after="260" w:line="300"/>
      </w:pPr>
      <w:r>
        <w:rPr>
          <w:color w:val="565F7A"/>
          <w:sz w:val="20"/>
          <w:szCs w:val="20"/>
        </w:rPr>
        <w:t xml:space="preserve">Esta plantilla es para llenarla. Al final queda un bloque listo para pegar en el campo de instrucciones del Gem.</w:t>
      </w:r>
    </w:p>
    <w:p>
      <w:pPr>
        <w:spacing w:after="100" w:before="360"/>
      </w:pPr>
      <w:r>
        <w:rPr>
          <w:b/>
          <w:bCs/>
          <w:color w:val="3B5BDB"/>
          <w:spacing w:val="30"/>
          <w:sz w:val="16"/>
          <w:szCs w:val="16"/>
        </w:rPr>
        <w:t xml:space="preserve">CÓMO SE USA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565F7A"/>
          <w:sz w:val="19"/>
          <w:szCs w:val="19"/>
        </w:rPr>
        <w:t xml:space="preserve">Parte de un prompt que ya te funciona. No lo inventes desde cero.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565F7A"/>
          <w:sz w:val="19"/>
          <w:szCs w:val="19"/>
        </w:rPr>
        <w:t xml:space="preserve">Llena los espacios subrayados. Lo que no aplique, bórralo.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565F7A"/>
          <w:sz w:val="19"/>
          <w:szCs w:val="19"/>
        </w:rPr>
        <w:t xml:space="preserve">Antes de compartirlo con el área, córrelo con los tres casos de la sección 6.</w:t>
      </w:r>
    </w:p>
    <w:p>
      <w:pPr>
        <w:pStyle w:val="Heading2"/>
      </w:pPr>
      <w:r>
        <w:t xml:space="preserve">1. Identidad</w:t>
      </w:r>
    </w:p>
    <w:p>
      <w:pPr>
        <w:spacing w:after="200" w:line="280"/>
      </w:pPr>
      <w:r>
        <w:rPr>
          <w:i/>
          <w:iCs/>
          <w:color w:val="565F7A"/>
          <w:sz w:val="17"/>
          <w:szCs w:val="17"/>
        </w:rPr>
        <w:t xml:space="preserve">¿Quién es este asistente y para quién trabaja? Si es para una sola tarea, dilo aquí.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Eres el asistente de </w:t>
      </w:r>
      <w:r>
        <w:rPr>
          <w:color w:val="C3CBE0"/>
        </w:rPr>
        <w:t xml:space="preserve">______________________________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de la empresa </w:t>
      </w:r>
      <w:r>
        <w:rPr>
          <w:color w:val="C3CBE0"/>
        </w:rPr>
        <w:t xml:space="preserve">__________________________________</w:t>
      </w:r>
    </w:p>
    <w:p>
      <w:pPr>
        <w:pStyle w:val="Heading2"/>
      </w:pPr>
      <w:r>
        <w:t xml:space="preserve">2. Qué hace</w:t>
      </w:r>
    </w:p>
    <w:p>
      <w:pPr>
        <w:spacing w:after="200" w:line="280"/>
      </w:pPr>
      <w:r>
        <w:rPr>
          <w:i/>
          <w:iCs/>
          <w:color w:val="565F7A"/>
          <w:sz w:val="17"/>
          <w:szCs w:val="17"/>
        </w:rPr>
        <w:t xml:space="preserve">Las tres cosas que resuelve. Tres. Si te salen ocho, son dos Gems distintos.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1. </w:t>
      </w:r>
      <w:r>
        <w:rPr>
          <w:color w:val="C3CBE0"/>
        </w:rPr>
        <w:t xml:space="preserve">____________________________________________________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2. </w:t>
      </w:r>
      <w:r>
        <w:rPr>
          <w:color w:val="C3CBE0"/>
        </w:rPr>
        <w:t xml:space="preserve">____________________________________________________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3. </w:t>
      </w:r>
      <w:r>
        <w:rPr>
          <w:color w:val="C3CBE0"/>
        </w:rPr>
        <w:t xml:space="preserve">____________________________________________________</w:t>
      </w:r>
    </w:p>
    <w:p>
      <w:pPr>
        <w:pStyle w:val="Heading2"/>
      </w:pPr>
      <w:r>
        <w:t xml:space="preserve">3. Qué nunca hace</w:t>
      </w:r>
    </w:p>
    <w:p>
      <w:pPr>
        <w:spacing w:after="200" w:line="280"/>
      </w:pPr>
      <w:r>
        <w:rPr>
          <w:i/>
          <w:iCs/>
          <w:color w:val="565F7A"/>
          <w:sz w:val="17"/>
          <w:szCs w:val="17"/>
        </w:rPr>
        <w:t xml:space="preserve">Aquí es donde se evitan los problemas con clientes. Asesoría legal o tributaria, precios que no están en la tabla, plazos que la empresa no puede cumplir.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Nunca </w:t>
      </w:r>
      <w:r>
        <w:rPr>
          <w:color w:val="C3CBE0"/>
        </w:rPr>
        <w:t xml:space="preserve">________________________________________________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Si te preguntan por eso, responde que </w:t>
      </w:r>
      <w:r>
        <w:rPr>
          <w:color w:val="C3CBE0"/>
        </w:rPr>
        <w:t xml:space="preserve">________________________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y ofrece </w:t>
      </w:r>
      <w:r>
        <w:rPr>
          <w:color w:val="C3CBE0"/>
        </w:rPr>
        <w:t xml:space="preserve">_____________________________________________</w:t>
      </w:r>
    </w:p>
    <w:p>
      <w:pPr>
        <w:pStyle w:val="Heading2"/>
      </w:pPr>
      <w:r>
        <w:t xml:space="preserve">4. Formato de la respuesta</w:t>
      </w:r>
    </w:p>
    <w:p>
      <w:pPr>
        <w:spacing w:after="200" w:line="280"/>
      </w:pPr>
      <w:r>
        <w:rPr>
          <w:i/>
          <w:iCs/>
          <w:color w:val="565F7A"/>
          <w:sz w:val="17"/>
          <w:szCs w:val="17"/>
        </w:rPr>
        <w:t xml:space="preserve">Piensa en dónde se va a usar. Si el Gem redacta correos, el formato es un correo: asunto, dos párrafos y una pregunta al final.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Estructura: </w:t>
      </w:r>
      <w:r>
        <w:rPr>
          <w:color w:val="C3CBE0"/>
        </w:rPr>
        <w:t xml:space="preserve">____________________________________________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Extensión máxima: </w:t>
      </w:r>
      <w:r>
        <w:rPr>
          <w:color w:val="C3CBE0"/>
        </w:rPr>
        <w:t xml:space="preserve">______________________________________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Tono: </w:t>
      </w:r>
      <w:r>
        <w:rPr>
          <w:color w:val="C3CBE0"/>
        </w:rPr>
        <w:t xml:space="preserve">________________________________________________</w:t>
      </w:r>
    </w:p>
    <w:p>
      <w:pPr>
        <w:pStyle w:val="Heading2"/>
      </w:pPr>
      <w:r>
        <w:t xml:space="preserve">5. Archivos de Drive</w:t>
      </w:r>
    </w:p>
    <w:p>
      <w:pPr>
        <w:spacing w:after="200" w:line="280"/>
      </w:pPr>
      <w:r>
        <w:rPr>
          <w:i/>
          <w:iCs/>
          <w:color w:val="565F7A"/>
          <w:sz w:val="17"/>
          <w:szCs w:val="17"/>
        </w:rPr>
        <w:t xml:space="preserve">El Gem lee lo que le indiques de Drive, con los permisos de quien pregunta. Revisa que el archivo esté compartido con el área antes de anotarlo aquí, y que no tenga datos personales ni salarios.</w:t>
      </w:r>
    </w:p>
    <w:tbl>
      <w:tblPr>
        <w:tblW w:type="pct" w:w="100%"/>
        <w:tblBorders>
          <w:top w:val="single" w:color="DCE3F3" w:sz="4"/>
          <w:left w:val="none" w:color="FFFFFF" w:sz="0"/>
          <w:bottom w:val="single" w:color="DCE3F3" w:sz="4"/>
          <w:right w:val="none" w:color="FFFFFF" w:sz="0"/>
          <w:insideH w:val="single" w:color="DCE3F3" w:sz="4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0%"/>
            <w:shd w:fill="F2F5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8189A3"/>
                <w:sz w:val="16"/>
                <w:szCs w:val="16"/>
              </w:rPr>
              <w:t xml:space="preserve">Archivo en Drive</w:t>
            </w:r>
          </w:p>
        </w:tc>
        <w:tc>
          <w:tcPr>
            <w:tcW w:type="pct" w:w="34%"/>
            <w:shd w:fill="F2F5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8189A3"/>
                <w:sz w:val="16"/>
                <w:szCs w:val="16"/>
              </w:rPr>
              <w:t xml:space="preserve">Qué contiene</w:t>
            </w:r>
          </w:p>
        </w:tc>
        <w:tc>
          <w:tcPr>
            <w:tcW w:type="pct" w:w="20%"/>
            <w:shd w:fill="F2F5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8189A3"/>
                <w:sz w:val="16"/>
                <w:szCs w:val="16"/>
              </w:rPr>
              <w:t xml:space="preserve">Dueño</w:t>
            </w:r>
          </w:p>
        </w:tc>
        <w:tc>
          <w:tcPr>
            <w:tcW w:type="pct" w:w="16%"/>
            <w:shd w:fill="F2F5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8189A3"/>
                <w:sz w:val="16"/>
                <w:szCs w:val="16"/>
              </w:rPr>
              <w:t xml:space="preserve">Última revisión</w:t>
            </w:r>
          </w:p>
        </w:tc>
      </w:tr>
      <w:tr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</w:pPr>
      <w:r>
        <w:t xml:space="preserve">6. Casos de prueba</w:t>
      </w:r>
    </w:p>
    <w:p>
      <w:pPr>
        <w:spacing w:after="200" w:line="280"/>
      </w:pPr>
      <w:r>
        <w:rPr>
          <w:i/>
          <w:iCs/>
          <w:color w:val="565F7A"/>
          <w:sz w:val="17"/>
          <w:szCs w:val="17"/>
        </w:rPr>
        <w:t xml:space="preserve">Si aguanta estos tres, ya se puede compartir con el área.</w:t>
      </w:r>
    </w:p>
    <w:tbl>
      <w:tblPr>
        <w:tblW w:type="pct" w:w="100%"/>
        <w:tblBorders>
          <w:top w:val="single" w:color="DCE3F3" w:sz="4"/>
          <w:left w:val="none" w:color="FFFFFF" w:sz="0"/>
          <w:bottom w:val="single" w:color="DCE3F3" w:sz="4"/>
          <w:right w:val="none" w:color="FFFFFF" w:sz="0"/>
          <w:insideH w:val="single" w:color="DCE3F3" w:sz="4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40%"/>
            <w:shd w:fill="F2F5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8189A3"/>
                <w:sz w:val="16"/>
                <w:szCs w:val="16"/>
              </w:rPr>
              <w:t xml:space="preserve">Caso difícil</w:t>
            </w:r>
          </w:p>
        </w:tc>
        <w:tc>
          <w:tcPr>
            <w:tcW w:type="pct" w:w="60%"/>
            <w:shd w:fill="F2F5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8189A3"/>
                <w:sz w:val="16"/>
                <w:szCs w:val="16"/>
              </w:rPr>
              <w:t xml:space="preserve">Qué debería responder</w:t>
            </w:r>
          </w:p>
        </w:tc>
      </w:tr>
      <w:tr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>La pregunta rara, la que no está en el manual</w:t>
            </w:r>
          </w:p>
        </w:tc>
        <w:tc>
          <w:tcPr>
            <w:tcW w:type="pct" w:w="6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>El descuento que no existe</w:t>
            </w:r>
          </w:p>
        </w:tc>
        <w:tc>
          <w:tcPr>
            <w:tcW w:type="pct" w:w="6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>El dato que no está en los archivos</w:t>
            </w:r>
          </w:p>
        </w:tc>
        <w:tc>
          <w:tcPr>
            <w:tcW w:type="pct" w:w="6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</w:pPr>
      <w:r>
        <w:t xml:space="preserve">7. Revisión</w:t>
      </w:r>
    </w:p>
    <w:p>
      <w:pPr>
        <w:spacing w:after="200" w:line="280"/>
      </w:pPr>
      <w:r>
        <w:rPr>
          <w:i/>
          <w:iCs/>
          <w:color w:val="565F7A"/>
          <w:sz w:val="17"/>
          <w:szCs w:val="17"/>
        </w:rPr>
        <w:t xml:space="preserve">Un Gem sin dueño queda con los archivos del año pasado y se sigue usando igual.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Responsable del contenido: </w:t>
      </w:r>
      <w:r>
        <w:rPr>
          <w:color w:val="C3CBE0"/>
        </w:rPr>
        <w:t xml:space="preserve">__________________________________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Cada cuánto se revisa: </w:t>
      </w:r>
      <w:r>
        <w:rPr>
          <w:color w:val="C3CBE0"/>
        </w:rPr>
        <w:t xml:space="preserve">______________________________________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Próxima revisión: </w:t>
      </w:r>
      <w:r>
        <w:rPr>
          <w:color w:val="C3CBE0"/>
        </w:rPr>
        <w:t xml:space="preserve">________________________________________</w:t>
      </w:r>
    </w:p>
    <w:p>
      <w:pPr>
        <w:pageBreakBefore/>
        <w:spacing w:after="40"/>
      </w:pPr>
    </w:p>
    <w:p>
      <w:pPr>
        <w:pStyle w:val="Heading2"/>
      </w:pPr>
      <w:r>
        <w:t xml:space="preserve">Instrucciones listas para pegar</w:t>
      </w:r>
    </w:p>
    <w:p>
      <w:pPr>
        <w:spacing w:after="200" w:line="280"/>
      </w:pPr>
      <w:r>
        <w:rPr>
          <w:i/>
          <w:iCs/>
          <w:color w:val="565F7A"/>
          <w:sz w:val="17"/>
          <w:szCs w:val="17"/>
        </w:rPr>
        <w:t xml:space="preserve">Copia este bloque en el campo de instrucciones del Gem, ya con tus respuestas de las secciones 1 a 4.</w:t>
      </w:r>
    </w:p>
    <w:p>
      <w:pPr>
        <w:pBdr>
          <w:top w:val="single" w:color="DCE3F3" w:sz="4"/>
          <w:bottom w:val="single" w:color="DCE3F3" w:sz="4"/>
          <w:left w:val="single" w:color="DCE3F3" w:sz="4"/>
          <w:right w:val="single" w:color="DCE3F3" w:sz="4"/>
        </w:pBdr>
        <w:shd w:fill="F2F5FD" w:color="auto" w:val="clear"/>
        <w:spacing w:before="120"/>
      </w:pPr>
      <w:r>
        <w:rPr>
          <w:rFonts w:ascii="Consolas" w:cs="Consolas" w:eastAsia="Consolas" w:hAnsi="Consolas"/>
          <w:color w:val="101426"/>
          <w:sz w:val="18"/>
          <w:szCs w:val="18"/>
        </w:rPr>
        <w:t xml:space="preserve">Eres el asistente de [área] de [empresa].</w:t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>Resuelves tres cosas: [1], [2] y [3].</w:t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>Respondes en [tono], en máximo [200] palabras, con esta estructura:</w:t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>[estructura].</w:t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>Nunca [límite]. Si te preguntan por eso, responde que se debe consultar</w:t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>con [responsable] y ofrece [alternativa].</w:t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>Usa [archivo de Drive] como única fuente de [precios / plazos / política].</w:t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>Si el dato no está ahí, di que no lo tienes en vez de estimarlo, y dime</w:t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>en cuál archivo buscaste.</w:t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>Si falta información para responder bien, pídela antes de responder.</w:t>
      </w:r>
    </w:p>
    <w:p>
      <w:pPr>
        <w:spacing w:before="520"/>
        <w:jc w:val="left"/>
      </w:pPr>
      <w:r>
        <w:rPr>
          <w:color w:val="8189A3"/>
          <w:sz w:val="15"/>
          <w:szCs w:val="15"/>
        </w:rPr>
        <w:t xml:space="preserve">Gemini · Material de la capacitación. Uso interno.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0142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after="160"/>
    </w:pPr>
    <w:rPr>
      <w:b/>
      <w:bCs/>
      <w:color w:val="101426"/>
      <w:sz w:val="40"/>
      <w:szCs w:val="40"/>
    </w:rPr>
  </w:style>
  <w:style w:type="paragraph" w:styleId="Heading2">
    <w:name w:val="Heading 2"/>
    <w:basedOn w:val="Normal"/>
    <w:pPr>
      <w:spacing w:after="120" w:before="320"/>
    </w:pPr>
    <w:rPr>
      <w:b/>
      <w:bCs/>
      <w:color w:val="10142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aefc85a30f905d25747b527f10a7031fc7d9b7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Gem</dc:title>
  <dc:creator>Academia IA</dc:creator>
  <dc:description>Estructura de instrucciones y archivos para armar el Gem del área.</dc:description>
  <cp:lastModifiedBy>Un-named</cp:lastModifiedBy>
  <cp:revision>1</cp:revision>
  <dcterms:created xsi:type="dcterms:W3CDTF">2026-08-16T17:39:07.076Z</dcterms:created>
  <dcterms:modified xsi:type="dcterms:W3CDTF">2026-08-16T17:39:07.076Z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