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aveatSemiBold-bold.ttf" ContentType="application/x-font-ttf"/>
  <Override PartName="/word/fonts/CaveatSemiBold-regular.ttf" ContentType="application/x-font-ttf"/>
  <Override PartName="/word/fonts/NotoSansSymbols-bold.ttf" ContentType="application/x-font-ttf"/>
  <Override PartName="/word/fonts/NotoSansSymbols-regular.ttf" ContentType="application/x-font-ttf"/>
  <Override PartName="/word/fonts/Roboto-bold.ttf" ContentType="application/x-font-ttf"/>
  <Override PartName="/word/fonts/Roboto-boldItalic.ttf" ContentType="application/x-font-ttf"/>
  <Override PartName="/word/fonts/Roboto-italic.ttf" ContentType="application/x-font-ttf"/>
  <Override PartName="/word/fonts/Roboto-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2">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3">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4">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5">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6">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7">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8">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9">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A">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B">
      <w:pPr>
        <w:spacing w:after="0" w:line="240" w:lineRule="auto"/>
        <w:jc w:val="center"/>
        <w:rPr>
          <w:b w:val="0"/>
          <w:color w:val="000000"/>
          <w:sz w:val="36"/>
          <w:szCs w:val="36"/>
          <w:vertAlign w:val="baseline"/>
        </w:rPr>
      </w:pPr>
      <w:r w:rsidDel="00000000" w:rsidR="00000000" w:rsidRPr="00000000">
        <w:rPr>
          <w:rtl w:val="0"/>
        </w:rPr>
      </w:r>
    </w:p>
    <w:p w:rsidR="00000000" w:rsidDel="00000000" w:rsidP="00000000" w:rsidRDefault="00000000" w:rsidRPr="00000000" w14:paraId="0000000C">
      <w:pPr>
        <w:spacing w:after="0" w:line="240" w:lineRule="auto"/>
        <w:jc w:val="right"/>
        <w:rPr>
          <w:b w:val="0"/>
          <w:color w:val="000000"/>
          <w:sz w:val="48"/>
          <w:szCs w:val="48"/>
          <w:vertAlign w:val="baseline"/>
        </w:rPr>
      </w:pPr>
      <w:r w:rsidDel="00000000" w:rsidR="00000000" w:rsidRPr="00000000">
        <w:rPr>
          <w:b w:val="1"/>
          <w:color w:val="000000"/>
          <w:sz w:val="48"/>
          <w:szCs w:val="48"/>
          <w:vertAlign w:val="baseline"/>
          <w:rtl w:val="0"/>
        </w:rPr>
        <w:t xml:space="preserve">Plan de Pruebas de Software </w:t>
      </w:r>
      <w:r w:rsidDel="00000000" w:rsidR="00000000" w:rsidRPr="00000000">
        <w:rPr>
          <w:rtl w:val="0"/>
        </w:rPr>
      </w:r>
    </w:p>
    <w:p w:rsidR="00000000" w:rsidDel="00000000" w:rsidP="00000000" w:rsidRDefault="00000000" w:rsidRPr="00000000" w14:paraId="0000000D">
      <w:pPr>
        <w:spacing w:after="0" w:line="240" w:lineRule="auto"/>
        <w:jc w:val="right"/>
        <w:rPr>
          <w:rFonts w:ascii="Calibri" w:cs="Calibri" w:eastAsia="Calibri" w:hAnsi="Calibri"/>
          <w:b w:val="0"/>
          <w:i w:val="0"/>
          <w:color w:val="00b050"/>
          <w:sz w:val="36"/>
          <w:szCs w:val="36"/>
          <w:vertAlign w:val="baseline"/>
        </w:rPr>
      </w:pPr>
      <w:r w:rsidDel="00000000" w:rsidR="00000000" w:rsidRPr="00000000">
        <w:rPr>
          <w:rtl w:val="0"/>
        </w:rPr>
      </w:r>
    </w:p>
    <w:p w:rsidR="00000000" w:rsidDel="00000000" w:rsidP="00000000" w:rsidRDefault="00000000" w:rsidRPr="00000000" w14:paraId="0000000E">
      <w:pPr>
        <w:spacing w:after="0" w:line="240" w:lineRule="auto"/>
        <w:jc w:val="right"/>
        <w:rPr>
          <w:b w:val="0"/>
          <w:i w:val="0"/>
          <w:color w:val="00b050"/>
          <w:sz w:val="36"/>
          <w:szCs w:val="36"/>
          <w:vertAlign w:val="baseline"/>
        </w:rPr>
      </w:pPr>
      <w:r w:rsidDel="00000000" w:rsidR="00000000" w:rsidRPr="00000000">
        <w:rPr>
          <w:rFonts w:ascii="Calibri" w:cs="Calibri" w:eastAsia="Calibri" w:hAnsi="Calibri"/>
          <w:b w:val="1"/>
          <w:i w:val="1"/>
          <w:color w:val="00b050"/>
          <w:sz w:val="36"/>
          <w:szCs w:val="36"/>
          <w:rtl w:val="0"/>
        </w:rPr>
        <w:t>codebymike.tech</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0"/>
          <w:i w:val="0"/>
          <w:color w:val="365f91"/>
          <w:sz w:val="36"/>
          <w:szCs w:val="36"/>
          <w:vertAlign w:val="baseline"/>
        </w:rPr>
      </w:pPr>
      <w:r w:rsidDel="00000000" w:rsidR="00000000" w:rsidRPr="00000000">
        <w:rPr>
          <w:b w:val="1"/>
          <w:i w:val="1"/>
          <w:sz w:val="36"/>
          <w:szCs w:val="36"/>
          <w:vertAlign w:val="baseline"/>
          <w:rtl w:val="0"/>
        </w:rPr>
        <w:t xml:space="preserve">Fecha:</w:t>
      </w:r>
      <w:r w:rsidDel="00000000" w:rsidR="00000000" w:rsidRPr="00000000">
        <w:rPr>
          <w:b w:val="1"/>
          <w:i w:val="1"/>
          <w:color w:val="365f91"/>
          <w:sz w:val="36"/>
          <w:szCs w:val="36"/>
          <w:vertAlign w:val="baseline"/>
          <w:rtl w:val="0"/>
        </w:rPr>
        <w:t xml:space="preserve"> </w:t>
      </w:r>
      <w:r w:rsidDel="00000000" w:rsidR="00000000" w:rsidRPr="00000000">
        <w:rPr>
          <w:b w:val="1"/>
          <w:i w:val="1"/>
          <w:color w:val="00b050"/>
          <w:sz w:val="36"/>
          <w:szCs w:val="36"/>
          <w:rtl w:val="0"/>
        </w:rPr>
        <w:t>26-08-2026</w:t>
      </w:r>
      <w:r w:rsidDel="00000000" w:rsidR="00000000" w:rsidRPr="00000000">
        <w:rPr>
          <w:rtl w:val="0"/>
        </w:rPr>
      </w:r>
    </w:p>
    <w:p w:rsidR="00000000" w:rsidDel="00000000" w:rsidP="00000000" w:rsidRDefault="00000000" w:rsidRPr="00000000" w14:paraId="0000001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1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25">
      <w:pPr>
        <w:spacing w:after="0" w:line="240" w:lineRule="auto"/>
        <w:rPr>
          <w:b w:val="0"/>
          <w:color w:val="365f91"/>
          <w:sz w:val="32"/>
          <w:szCs w:val="32"/>
          <w:vertAlign w:val="baseline"/>
        </w:rPr>
      </w:pPr>
      <w:r w:rsidDel="00000000" w:rsidR="00000000" w:rsidRPr="00000000">
        <w:rPr>
          <w:b w:val="1"/>
          <w:color w:val="365f91"/>
          <w:sz w:val="32"/>
          <w:szCs w:val="32"/>
          <w:vertAlign w:val="baseline"/>
          <w:rtl w:val="0"/>
        </w:rPr>
        <w:t xml:space="preserve">Tabla de contenido</w:t>
      </w:r>
      <w:r w:rsidDel="00000000" w:rsidR="00000000" w:rsidRPr="00000000">
        <w:rPr>
          <w:rtl w:val="0"/>
        </w:rPr>
      </w:r>
    </w:p>
    <w:p w:rsidR="00000000" w:rsidDel="00000000" w:rsidP="00000000" w:rsidRDefault="00000000" w:rsidRPr="00000000" w14:paraId="00000026">
      <w:pPr>
        <w:spacing w:after="0" w:line="240" w:lineRule="auto"/>
        <w:rPr>
          <w:b w:val="0"/>
          <w:color w:val="365f91"/>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Historial de Versiones</w:t>
            <w:tab/>
          </w:r>
          <w:r w:rsidDel="00000000" w:rsidR="00000000" w:rsidRPr="00000000">
            <w:fldChar w:fldCharType="begin"/>
            <w:instrText xml:space="preserve"> PAGEREF _heading=h.gjdgxs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Información del Proyecto</w:t>
            <w:tab/>
          </w:r>
          <w:r w:rsidDel="00000000" w:rsidR="00000000" w:rsidRPr="00000000">
            <w:fldChar w:fldCharType="begin"/>
            <w:instrText xml:space="preserve"> PAGEREF _heading=h.30j0zll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Aprobaciones</w:t>
            <w:tab/>
          </w:r>
          <w:r w:rsidDel="00000000" w:rsidR="00000000" w:rsidRPr="00000000">
            <w:fldChar w:fldCharType="begin"/>
            <w:instrText xml:space="preserve"> PAGEREF _heading=h.1fob9te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Resumen Ejecutivo</w:t>
            <w:tab/>
          </w:r>
          <w:r w:rsidDel="00000000" w:rsidR="00000000" w:rsidRPr="00000000">
            <w:fldChar w:fldCharType="begin"/>
            <w:instrText xml:space="preserve"> PAGEREF _heading=h.3znysh7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Alcance de las Pruebas</w:t>
            <w:tab/>
          </w:r>
          <w:r w:rsidDel="00000000" w:rsidR="00000000" w:rsidRPr="00000000">
            <w:fldChar w:fldCharType="begin"/>
            <w:instrText xml:space="preserve"> PAGEREF _heading=h.2et92p0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Elementos de Pruebas</w:t>
            <w:tab/>
          </w:r>
          <w:r w:rsidDel="00000000" w:rsidR="00000000" w:rsidRPr="00000000">
            <w:fldChar w:fldCharType="begin"/>
            <w:instrText xml:space="preserve"> PAGEREF _heading=h.tyjcwt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Nuevas Funcionalidades a Probar</w:t>
            <w:tab/>
          </w:r>
          <w:r w:rsidDel="00000000" w:rsidR="00000000" w:rsidRPr="00000000">
            <w:fldChar w:fldCharType="begin"/>
            <w:instrText xml:space="preserve"> PAGEREF _heading=h.3dy6vkm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Pruebas de Regresión</w:t>
            <w:tab/>
          </w:r>
          <w:r w:rsidDel="00000000" w:rsidR="00000000" w:rsidRPr="00000000">
            <w:fldChar w:fldCharType="begin"/>
            <w:instrText xml:space="preserve"> PAGEREF _heading=h.1t3h5sf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Funcionalidades a No Probar</w:t>
            <w:tab/>
          </w:r>
          <w:r w:rsidDel="00000000" w:rsidR="00000000" w:rsidRPr="00000000">
            <w:fldChar w:fldCharType="begin"/>
            <w:instrText xml:space="preserve"> PAGEREF _heading=h.4d34og8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Enfoque de Pruebas (Estrategia)</w:t>
            <w:tab/>
          </w:r>
          <w:r w:rsidDel="00000000" w:rsidR="00000000" w:rsidRPr="00000000">
            <w:fldChar w:fldCharType="begin"/>
            <w:instrText xml:space="preserve"> PAGEREF _heading=h.2s8eyo1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_heading=h.17dp8vu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Aceptación o Rechazo</w:t>
            <w:tab/>
          </w:r>
          <w:r w:rsidDel="00000000" w:rsidR="00000000" w:rsidRPr="00000000">
            <w:fldChar w:fldCharType="begin"/>
            <w:instrText xml:space="preserve"> PAGEREF _heading=h.3rdcrjn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Suspensión</w:t>
            <w:tab/>
          </w:r>
          <w:r w:rsidDel="00000000" w:rsidR="00000000" w:rsidRPr="00000000">
            <w:fldChar w:fldCharType="begin"/>
            <w:instrText xml:space="preserve"> PAGEREF _heading=h.26in1rg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8</w:t>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Criterios de Reanudación</w:t>
            <w:tab/>
          </w:r>
          <w:r w:rsidDel="00000000" w:rsidR="00000000" w:rsidRPr="00000000">
            <w:fldChar w:fldCharType="begin"/>
            <w:instrText xml:space="preserve"> PAGEREF _heading=h.lnxbz9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Entregables</w:t>
            <w:tab/>
          </w:r>
          <w:r w:rsidDel="00000000" w:rsidR="00000000" w:rsidRPr="00000000">
            <w:fldChar w:fldCharType="begin"/>
            <w:instrText xml:space="preserve"> PAGEREF _heading=h.35nkun2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9</w:t>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Recursos</w:t>
            <w:tab/>
          </w:r>
          <w:r w:rsidDel="00000000" w:rsidR="00000000" w:rsidRPr="00000000">
            <w:fldChar w:fldCharType="begin"/>
            <w:instrText xml:space="preserve"> PAGEREF _heading=h.1ksv4uv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Requerimientos de Entornos – Hardware</w:t>
            <w:tab/>
          </w:r>
          <w:r w:rsidDel="00000000" w:rsidR="00000000" w:rsidRPr="00000000">
            <w:fldChar w:fldCharType="begin"/>
            <w:instrText xml:space="preserve"> PAGEREF _heading=h.44sinio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Requerimientos de Entornos – Software</w:t>
            <w:tab/>
          </w:r>
          <w:r w:rsidDel="00000000" w:rsidR="00000000" w:rsidRPr="00000000">
            <w:fldChar w:fldCharType="begin"/>
            <w:instrText xml:space="preserve"> PAGEREF _heading=h.2jxsxqh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10</w:t>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Herramientas de Pruebas Requeridas</w:t>
            <w:tab/>
          </w:r>
          <w:r w:rsidDel="00000000" w:rsidR="00000000" w:rsidRPr="00000000">
            <w:fldChar w:fldCharType="begin"/>
            <w:instrText xml:space="preserve"> PAGEREF _heading=h.z337ya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Personal</w:t>
            <w:tab/>
          </w:r>
          <w:r w:rsidDel="00000000" w:rsidR="00000000" w:rsidRPr="00000000">
            <w:fldChar w:fldCharType="begin"/>
            <w:instrText xml:space="preserve"> PAGEREF _heading=h.3j2qqm3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11</w:t>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Entrenamiento</w:t>
            <w:tab/>
          </w:r>
          <w:r w:rsidDel="00000000" w:rsidR="00000000" w:rsidRPr="00000000">
            <w:fldChar w:fldCharType="begin"/>
            <w:instrText xml:space="preserve"> PAGEREF _heading=h.1y810tw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Planificación y Organización</w:t>
            <w:tab/>
          </w:r>
          <w:r w:rsidDel="00000000" w:rsidR="00000000" w:rsidRPr="00000000">
            <w:fldChar w:fldCharType="begin"/>
            <w:instrText xml:space="preserve"> PAGEREF _heading=h.4i7ojhp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Procedimientos para las Pruebas</w:t>
            <w:tab/>
          </w:r>
          <w:r w:rsidDel="00000000" w:rsidR="00000000" w:rsidRPr="00000000">
            <w:fldChar w:fldCharType="begin"/>
            <w:instrText xml:space="preserve"> PAGEREF _heading=h.2xcytpi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12</w:t>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Matriz de Responsabilidades</w:t>
            <w:tab/>
          </w:r>
          <w:r w:rsidDel="00000000" w:rsidR="00000000" w:rsidRPr="00000000">
            <w:fldChar w:fldCharType="begin"/>
            <w:instrText xml:space="preserve"> PAGEREF _heading=h.1ci93xb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Cronograma</w:t>
            <w:tab/>
          </w:r>
          <w:r w:rsidDel="00000000" w:rsidR="00000000" w:rsidRPr="00000000">
            <w:fldChar w:fldCharType="begin"/>
            <w:instrText xml:space="preserve"> PAGEREF _heading=h.3whwml4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13</w:t>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Premisas</w:t>
            <w:tab/>
          </w:r>
          <w:r w:rsidDel="00000000" w:rsidR="00000000" w:rsidRPr="00000000">
            <w:fldChar w:fldCharType="begin"/>
            <w:instrText xml:space="preserve"> PAGEREF _heading=h.2bn6wsx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22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Dependencias y Riesgos</w:t>
            <w:tab/>
          </w:r>
          <w:r w:rsidDel="00000000" w:rsidR="00000000" w:rsidRPr="00000000">
            <w:fldChar w:fldCharType="begin"/>
            <w:instrText xml:space="preserve"> PAGEREF _heading=h.qsh70q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14</w:t>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Referencias</w:t>
            <w:tab/>
          </w:r>
          <w:r w:rsidDel="00000000" w:rsidR="00000000" w:rsidRPr="00000000">
            <w:fldChar w:fldCharType="begin"/>
            <w:instrText xml:space="preserve"> PAGEREF _heading=h.3as4poj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200" w:before="0" w:line="276"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Glosario</w:t>
            <w:tab/>
          </w:r>
          <w:r w:rsidDel="00000000" w:rsidR="00000000" w:rsidRPr="00000000">
            <w:fldChar w:fldCharType="begin"/>
            <w:instrText xml:space="preserve"> PAGEREF _heading=h.1pxezwc \h </w:instrText>
            <w:fldChar w:fldCharType="separate"/>
          </w:r>
          <w:r w:rsidDel="00000000" w:rsidR="00000000" w:rsidRPr="00000000">
            <w:rPr>
              <w:rFonts w:ascii="Arial" w:cs="Arial" w:eastAsia="Arial" w:hAnsi="Arial"/>
              <w:b w:val="0"/>
              <w:i w:val="0"/>
              <w:smallCaps w:val="0"/>
              <w:strike w:val="0"/>
              <w:color w:val="000000"/>
              <w:sz w:val="24"/>
              <w:szCs w:val="24"/>
              <w:u w:val="none"/>
              <w:shd w:fill="auto" w:val="clear"/>
              <w:vertAlign w:val="baseline"/>
              <w:rtl w:val="0"/>
            </w:rPr>
            <w:t xml:space="preserve">15</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4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3">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4">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5">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6">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7">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8">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9">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A">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B">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C">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D">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E">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5F">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0">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1">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2">
      <w:pPr>
        <w:spacing w:after="0" w:line="240" w:lineRule="auto"/>
        <w:rPr>
          <w:b w:val="0"/>
          <w:color w:val="365f91"/>
          <w:vertAlign w:val="baseline"/>
        </w:rPr>
      </w:pPr>
      <w:r w:rsidDel="00000000" w:rsidR="00000000" w:rsidRPr="00000000">
        <w:rPr>
          <w:rtl w:val="0"/>
        </w:rPr>
      </w:r>
    </w:p>
    <w:p w:rsidR="00000000" w:rsidDel="00000000" w:rsidP="00000000" w:rsidRDefault="00000000" w:rsidRPr="00000000" w14:paraId="00000063">
      <w:pPr>
        <w:spacing w:after="0" w:line="240" w:lineRule="auto"/>
        <w:rPr>
          <w:b w:val="0"/>
          <w:color w:val="365f91"/>
          <w:vertAlign w:val="baseline"/>
        </w:rPr>
      </w:pPr>
      <w:bookmarkStart w:colFirst="0" w:colLast="0" w:name="_heading=h.gjdgxs" w:id="0"/>
      <w:bookmarkEnd w:id="0"/>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Historial de Versiones</w:t>
      </w:r>
    </w:p>
    <w:tbl>
      <w:tblPr>
        <w:tblStyle w:val="Table1"/>
        <w:tblW w:w="8946.000000000002"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085"/>
        <w:gridCol w:w="1183"/>
        <w:gridCol w:w="1843"/>
        <w:gridCol w:w="1843"/>
        <w:gridCol w:w="2992"/>
        <w:tblGridChange w:id="0">
          <w:tblGrid>
            <w:gridCol w:w="1085"/>
            <w:gridCol w:w="1183"/>
            <w:gridCol w:w="1843"/>
            <w:gridCol w:w="1843"/>
            <w:gridCol w:w="2992"/>
          </w:tblGrid>
        </w:tblGridChange>
      </w:tblGrid>
      <w:tr>
        <w:trPr>
          <w:cantSplit w:val="0"/>
          <w:tblHeader w:val="0"/>
        </w:trPr>
        <w:tc>
          <w:tcPr>
            <w:shd w:fill="d9d9d9" w:val="clear"/>
            <w:vAlign w:val="top"/>
          </w:tcPr>
          <w:p w:rsidR="00000000" w:rsidDel="00000000" w:rsidP="00000000" w:rsidRDefault="00000000" w:rsidRPr="00000000" w14:paraId="00000065">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66">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Versión</w:t>
            </w:r>
            <w:r w:rsidDel="00000000" w:rsidR="00000000" w:rsidRPr="00000000">
              <w:rPr>
                <w:rtl w:val="0"/>
              </w:rPr>
            </w:r>
          </w:p>
        </w:tc>
        <w:tc>
          <w:tcPr>
            <w:shd w:fill="d9d9d9" w:val="clear"/>
            <w:vAlign w:val="top"/>
          </w:tcPr>
          <w:p w:rsidR="00000000" w:rsidDel="00000000" w:rsidP="00000000" w:rsidRDefault="00000000" w:rsidRPr="00000000" w14:paraId="00000067">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Autor</w:t>
            </w:r>
            <w:r w:rsidDel="00000000" w:rsidR="00000000" w:rsidRPr="00000000">
              <w:rPr>
                <w:rtl w:val="0"/>
              </w:rPr>
            </w:r>
          </w:p>
        </w:tc>
        <w:tc>
          <w:tcPr>
            <w:shd w:fill="d9d9d9" w:val="clear"/>
            <w:vAlign w:val="top"/>
          </w:tcPr>
          <w:p w:rsidR="00000000" w:rsidDel="00000000" w:rsidP="00000000" w:rsidRDefault="00000000" w:rsidRPr="00000000" w14:paraId="00000068">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Organización</w:t>
            </w:r>
            <w:r w:rsidDel="00000000" w:rsidR="00000000" w:rsidRPr="00000000">
              <w:rPr>
                <w:rtl w:val="0"/>
              </w:rPr>
            </w:r>
          </w:p>
        </w:tc>
        <w:tc>
          <w:tcPr>
            <w:shd w:fill="d9d9d9" w:val="clear"/>
            <w:vAlign w:val="top"/>
          </w:tcPr>
          <w:p w:rsidR="00000000" w:rsidDel="00000000" w:rsidP="00000000" w:rsidRDefault="00000000" w:rsidRPr="00000000" w14:paraId="00000069">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Descripción</w:t>
            </w:r>
            <w:r w:rsidDel="00000000" w:rsidR="00000000" w:rsidRPr="00000000">
              <w:rPr>
                <w:rtl w:val="0"/>
              </w:rPr>
            </w:r>
          </w:p>
        </w:tc>
      </w:tr>
      <w:tr>
        <w:trPr>
          <w:cantSplit w:val="0"/>
          <w:tblHeader w:val="0"/>
        </w:trPr>
        <w:tc>
          <w:tcPr>
            <w:vAlign w:val="top"/>
          </w:tcPr>
          <w:p>
            <w:r>
              <w:t>26-08-2026</w:t>
            </w:r>
          </w:p>
        </w:tc>
        <w:tc>
          <w:tcPr>
            <w:vAlign w:val="top"/>
          </w:tcPr>
          <w:p>
            <w:r>
              <w:t>1.0</w:t>
            </w:r>
          </w:p>
        </w:tc>
        <w:tc>
          <w:tcPr>
            <w:vAlign w:val="top"/>
          </w:tcPr>
          <w:p>
            <w:r>
              <w:t>Mike</w:t>
            </w:r>
          </w:p>
        </w:tc>
        <w:tc>
          <w:tcPr>
            <w:vAlign w:val="top"/>
          </w:tcPr>
          <w:p>
            <w:r>
              <w:t>codebymike.tech</w:t>
            </w:r>
          </w:p>
        </w:tc>
        <w:tc>
          <w:tcPr>
            <w:vAlign w:val="top"/>
          </w:tcPr>
          <w:p>
            <w:r>
              <w:t>Versión inicial del plan de pruebas, adaptado de la plantilla SENA a la estrategia de testing ya implementada en el repositorio.</w:t>
            </w:r>
          </w:p>
        </w:tc>
      </w:tr>
      <w:tr>
        <w:trPr>
          <w:cantSplit w:val="0"/>
          <w:tblHeader w:val="0"/>
        </w:trPr>
        <w:tc>
          <w:tcPr>
            <w:vAlign w:val="top"/>
          </w:tcPr>
          <w:p w:rsidR="00000000" w:rsidDel="00000000" w:rsidP="00000000" w:rsidRDefault="00000000" w:rsidRPr="00000000" w14:paraId="0000006F">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0">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2">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3">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5">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6">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8">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7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7D">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bookmarkStart w:colFirst="0" w:colLast="0" w:name="_heading=h.30j0zll" w:id="1"/>
      <w:bookmarkEnd w:id="1"/>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Información del Proyecto</w:t>
      </w:r>
    </w:p>
    <w:tbl>
      <w:tblPr>
        <w:tblStyle w:val="Table2"/>
        <w:tblW w:w="887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61"/>
        <w:gridCol w:w="5609"/>
        <w:tblGridChange w:id="0">
          <w:tblGrid>
            <w:gridCol w:w="3261"/>
            <w:gridCol w:w="5609"/>
          </w:tblGrid>
        </w:tblGridChange>
      </w:tblGrid>
      <w:tr>
        <w:trPr>
          <w:cantSplit w:val="0"/>
          <w:tblHeader w:val="0"/>
        </w:trPr>
        <w:tc>
          <w:tcPr>
            <w:vAlign w:val="top"/>
          </w:tcPr>
          <w:p w:rsidR="00000000" w:rsidDel="00000000" w:rsidP="00000000" w:rsidRDefault="00000000" w:rsidRPr="00000000" w14:paraId="0000007F">
            <w:pPr>
              <w:spacing w:after="0" w:line="240" w:lineRule="auto"/>
              <w:rPr>
                <w:color w:val="000000"/>
                <w:vertAlign w:val="baseline"/>
              </w:rPr>
            </w:pPr>
            <w:r w:rsidDel="00000000" w:rsidR="00000000" w:rsidRPr="00000000">
              <w:rPr>
                <w:color w:val="000000"/>
                <w:vertAlign w:val="baseline"/>
                <w:rtl w:val="0"/>
              </w:rPr>
              <w:t xml:space="preserve">Empresa / Organización</w:t>
            </w:r>
          </w:p>
        </w:tc>
        <w:tc>
          <w:tcPr>
            <w:vAlign w:val="top"/>
          </w:tcPr>
          <w:p>
            <w:r>
              <w:t>codebymike.tech</w:t>
            </w:r>
          </w:p>
        </w:tc>
      </w:tr>
      <w:tr>
        <w:trPr>
          <w:cantSplit w:val="0"/>
          <w:tblHeader w:val="0"/>
        </w:trPr>
        <w:tc>
          <w:tcPr>
            <w:vAlign w:val="top"/>
          </w:tcPr>
          <w:p w:rsidR="00000000" w:rsidDel="00000000" w:rsidP="00000000" w:rsidRDefault="00000000" w:rsidRPr="00000000" w14:paraId="00000081">
            <w:pPr>
              <w:spacing w:after="0" w:line="240" w:lineRule="auto"/>
              <w:rPr>
                <w:color w:val="000000"/>
                <w:vertAlign w:val="baseline"/>
              </w:rPr>
            </w:pPr>
            <w:r w:rsidDel="00000000" w:rsidR="00000000" w:rsidRPr="00000000">
              <w:rPr>
                <w:color w:val="000000"/>
                <w:vertAlign w:val="baseline"/>
                <w:rtl w:val="0"/>
              </w:rPr>
              <w:t xml:space="preserve">Proyecto</w:t>
            </w:r>
          </w:p>
        </w:tc>
        <w:tc>
          <w:tcPr>
            <w:vAlign w:val="top"/>
          </w:tcPr>
          <w:p>
            <w:r>
              <w:t>Portafolio + panel de control + portal de clientes + laboratorio de ingeniería</w:t>
            </w:r>
          </w:p>
        </w:tc>
      </w:tr>
      <w:tr>
        <w:trPr>
          <w:cantSplit w:val="0"/>
          <w:tblHeader w:val="0"/>
        </w:trPr>
        <w:tc>
          <w:tcPr>
            <w:vAlign w:val="top"/>
          </w:tcPr>
          <w:p w:rsidR="00000000" w:rsidDel="00000000" w:rsidP="00000000" w:rsidRDefault="00000000" w:rsidRPr="00000000" w14:paraId="00000083">
            <w:pPr>
              <w:spacing w:after="0" w:line="240" w:lineRule="auto"/>
              <w:rPr>
                <w:color w:val="000000"/>
                <w:vertAlign w:val="baseline"/>
              </w:rPr>
            </w:pPr>
            <w:r w:rsidDel="00000000" w:rsidR="00000000" w:rsidRPr="00000000">
              <w:rPr>
                <w:color w:val="000000"/>
                <w:vertAlign w:val="baseline"/>
                <w:rtl w:val="0"/>
              </w:rPr>
              <w:t xml:space="preserve">Fecha de preparación</w:t>
            </w:r>
          </w:p>
        </w:tc>
        <w:tc>
          <w:tcPr>
            <w:vAlign w:val="top"/>
          </w:tcPr>
          <w:p>
            <w:r>
              <w:t>26-08-2026</w:t>
            </w:r>
          </w:p>
        </w:tc>
      </w:tr>
      <w:tr>
        <w:trPr>
          <w:cantSplit w:val="0"/>
          <w:tblHeader w:val="0"/>
        </w:trPr>
        <w:tc>
          <w:tcPr>
            <w:vAlign w:val="top"/>
          </w:tcPr>
          <w:p w:rsidR="00000000" w:rsidDel="00000000" w:rsidP="00000000" w:rsidRDefault="00000000" w:rsidRPr="00000000" w14:paraId="00000085">
            <w:pPr>
              <w:spacing w:after="0" w:line="240" w:lineRule="auto"/>
              <w:rPr>
                <w:color w:val="000000"/>
                <w:vertAlign w:val="baseline"/>
              </w:rPr>
            </w:pPr>
            <w:r w:rsidDel="00000000" w:rsidR="00000000" w:rsidRPr="00000000">
              <w:rPr>
                <w:color w:val="000000"/>
                <w:vertAlign w:val="baseline"/>
                <w:rtl w:val="0"/>
              </w:rPr>
              <w:t xml:space="preserve">Cliente</w:t>
            </w:r>
          </w:p>
        </w:tc>
        <w:tc>
          <w:tcPr>
            <w:vAlign w:val="top"/>
          </w:tcPr>
          <w:p>
            <w:r>
              <w:t>SENA (sustentación) / proyecto propio</w:t>
            </w:r>
          </w:p>
        </w:tc>
      </w:tr>
      <w:tr>
        <w:trPr>
          <w:cantSplit w:val="0"/>
          <w:tblHeader w:val="0"/>
        </w:trPr>
        <w:tc>
          <w:tcPr>
            <w:vAlign w:val="top"/>
          </w:tcPr>
          <w:p w:rsidR="00000000" w:rsidDel="00000000" w:rsidP="00000000" w:rsidRDefault="00000000" w:rsidRPr="00000000" w14:paraId="00000087">
            <w:pPr>
              <w:spacing w:after="0" w:line="240" w:lineRule="auto"/>
              <w:rPr>
                <w:color w:val="000000"/>
                <w:vertAlign w:val="baseline"/>
              </w:rPr>
            </w:pPr>
            <w:r w:rsidDel="00000000" w:rsidR="00000000" w:rsidRPr="00000000">
              <w:rPr>
                <w:color w:val="000000"/>
                <w:vertAlign w:val="baseline"/>
                <w:rtl w:val="0"/>
              </w:rPr>
              <w:t xml:space="preserve">Patrocinador principal</w:t>
            </w:r>
          </w:p>
        </w:tc>
        <w:tc>
          <w:tcPr>
            <w:vAlign w:val="top"/>
          </w:tcPr>
          <w:p>
            <w:r>
              <w:t>Mike</w:t>
            </w:r>
          </w:p>
        </w:tc>
      </w:tr>
      <w:tr>
        <w:trPr>
          <w:cantSplit w:val="0"/>
          <w:tblHeader w:val="0"/>
        </w:trPr>
        <w:tc>
          <w:tcPr>
            <w:vAlign w:val="top"/>
          </w:tcPr>
          <w:p w:rsidR="00000000" w:rsidDel="00000000" w:rsidP="00000000" w:rsidRDefault="00000000" w:rsidRPr="00000000" w14:paraId="00000089">
            <w:pPr>
              <w:spacing w:after="0" w:line="240" w:lineRule="auto"/>
              <w:rPr>
                <w:color w:val="000000"/>
                <w:vertAlign w:val="baseline"/>
              </w:rPr>
            </w:pPr>
            <w:r w:rsidDel="00000000" w:rsidR="00000000" w:rsidRPr="00000000">
              <w:rPr>
                <w:color w:val="000000"/>
                <w:vertAlign w:val="baseline"/>
                <w:rtl w:val="0"/>
              </w:rPr>
              <w:t xml:space="preserve">Gerente / Líder de Proyecto</w:t>
            </w:r>
          </w:p>
        </w:tc>
        <w:tc>
          <w:tcPr>
            <w:vAlign w:val="top"/>
          </w:tcPr>
          <w:p>
            <w:r>
              <w:t>Mike</w:t>
            </w:r>
          </w:p>
        </w:tc>
      </w:tr>
      <w:tr>
        <w:trPr>
          <w:cantSplit w:val="0"/>
          <w:tblHeader w:val="0"/>
        </w:trPr>
        <w:tc>
          <w:tcPr>
            <w:vAlign w:val="top"/>
          </w:tcPr>
          <w:p w:rsidR="00000000" w:rsidDel="00000000" w:rsidP="00000000" w:rsidRDefault="00000000" w:rsidRPr="00000000" w14:paraId="0000008B">
            <w:pPr>
              <w:spacing w:after="0" w:line="240" w:lineRule="auto"/>
              <w:rPr>
                <w:color w:val="000000"/>
                <w:vertAlign w:val="baseline"/>
              </w:rPr>
            </w:pPr>
            <w:r w:rsidDel="00000000" w:rsidR="00000000" w:rsidRPr="00000000">
              <w:rPr>
                <w:color w:val="000000"/>
                <w:vertAlign w:val="baseline"/>
                <w:rtl w:val="0"/>
              </w:rPr>
              <w:t xml:space="preserve">Gerente / Líder de Pruebas de Software</w:t>
            </w:r>
          </w:p>
        </w:tc>
        <w:tc>
          <w:tcPr>
            <w:vAlign w:val="top"/>
          </w:tcPr>
          <w:p>
            <w:r>
              <w:t>Mike</w:t>
            </w:r>
          </w:p>
        </w:tc>
      </w:tr>
    </w:tbl>
    <w:p w:rsidR="00000000" w:rsidDel="00000000" w:rsidP="00000000" w:rsidRDefault="00000000" w:rsidRPr="00000000" w14:paraId="0000008D">
      <w:pPr>
        <w:rPr>
          <w:vertAlign w:val="baseline"/>
        </w:rPr>
      </w:pPr>
      <w:bookmarkStart w:colFirst="0" w:colLast="0" w:name="_heading=h.1fob9te" w:id="2"/>
      <w:bookmarkEnd w:id="2"/>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Aprobaciones</w:t>
      </w:r>
    </w:p>
    <w:tbl>
      <w:tblPr>
        <w:tblStyle w:val="Table3"/>
        <w:tblW w:w="8789.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85"/>
        <w:gridCol w:w="1559"/>
        <w:gridCol w:w="1985"/>
        <w:gridCol w:w="850"/>
        <w:gridCol w:w="2410"/>
        <w:tblGridChange w:id="0">
          <w:tblGrid>
            <w:gridCol w:w="1985"/>
            <w:gridCol w:w="1559"/>
            <w:gridCol w:w="1985"/>
            <w:gridCol w:w="850"/>
            <w:gridCol w:w="2410"/>
          </w:tblGrid>
        </w:tblGridChange>
      </w:tblGrid>
      <w:tr>
        <w:trPr>
          <w:cantSplit w:val="0"/>
          <w:tblHeader w:val="0"/>
        </w:trPr>
        <w:tc>
          <w:tcPr>
            <w:shd w:fill="d9d9d9" w:val="clear"/>
            <w:vAlign w:val="top"/>
          </w:tcPr>
          <w:p w:rsidR="00000000" w:rsidDel="00000000" w:rsidP="00000000" w:rsidRDefault="00000000" w:rsidRPr="00000000" w14:paraId="0000008F">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Nombre y Apellido</w:t>
            </w:r>
            <w:r w:rsidDel="00000000" w:rsidR="00000000" w:rsidRPr="00000000">
              <w:rPr>
                <w:rtl w:val="0"/>
              </w:rPr>
            </w:r>
          </w:p>
        </w:tc>
        <w:tc>
          <w:tcPr>
            <w:shd w:fill="d9d9d9" w:val="clear"/>
            <w:vAlign w:val="top"/>
          </w:tcPr>
          <w:p w:rsidR="00000000" w:rsidDel="00000000" w:rsidP="00000000" w:rsidRDefault="00000000" w:rsidRPr="00000000" w14:paraId="00000090">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Cargo</w:t>
            </w:r>
            <w:r w:rsidDel="00000000" w:rsidR="00000000" w:rsidRPr="00000000">
              <w:rPr>
                <w:rtl w:val="0"/>
              </w:rPr>
            </w:r>
          </w:p>
        </w:tc>
        <w:tc>
          <w:tcPr>
            <w:shd w:fill="d9d9d9" w:val="clear"/>
            <w:vAlign w:val="top"/>
          </w:tcPr>
          <w:p w:rsidR="00000000" w:rsidDel="00000000" w:rsidP="00000000" w:rsidRDefault="00000000" w:rsidRPr="00000000" w14:paraId="00000091">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Departamento u Organización</w:t>
            </w:r>
            <w:r w:rsidDel="00000000" w:rsidR="00000000" w:rsidRPr="00000000">
              <w:rPr>
                <w:rtl w:val="0"/>
              </w:rPr>
            </w:r>
          </w:p>
        </w:tc>
        <w:tc>
          <w:tcPr>
            <w:shd w:fill="d9d9d9" w:val="clear"/>
            <w:vAlign w:val="top"/>
          </w:tcPr>
          <w:p w:rsidR="00000000" w:rsidDel="00000000" w:rsidP="00000000" w:rsidRDefault="00000000" w:rsidRPr="00000000" w14:paraId="00000092">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Fecha</w:t>
            </w:r>
            <w:r w:rsidDel="00000000" w:rsidR="00000000" w:rsidRPr="00000000">
              <w:rPr>
                <w:rtl w:val="0"/>
              </w:rPr>
            </w:r>
          </w:p>
        </w:tc>
        <w:tc>
          <w:tcPr>
            <w:shd w:fill="d9d9d9" w:val="clear"/>
            <w:vAlign w:val="top"/>
          </w:tcPr>
          <w:p w:rsidR="00000000" w:rsidDel="00000000" w:rsidP="00000000" w:rsidRDefault="00000000" w:rsidRPr="00000000" w14:paraId="00000093">
            <w:pPr>
              <w:spacing w:after="0" w:line="240" w:lineRule="auto"/>
              <w:jc w:val="center"/>
              <w:rPr>
                <w:b w:val="0"/>
                <w:color w:val="000000"/>
                <w:sz w:val="20"/>
                <w:szCs w:val="20"/>
                <w:vertAlign w:val="baseline"/>
              </w:rPr>
            </w:pPr>
            <w:r w:rsidDel="00000000" w:rsidR="00000000" w:rsidRPr="00000000">
              <w:rPr>
                <w:b w:val="1"/>
                <w:color w:val="000000"/>
                <w:sz w:val="20"/>
                <w:szCs w:val="20"/>
                <w:vertAlign w:val="baseline"/>
                <w:rtl w:val="0"/>
              </w:rPr>
              <w:t xml:space="preserve">Firma</w:t>
            </w:r>
            <w:r w:rsidDel="00000000" w:rsidR="00000000" w:rsidRPr="00000000">
              <w:rPr>
                <w:rtl w:val="0"/>
              </w:rPr>
            </w:r>
          </w:p>
        </w:tc>
      </w:tr>
      <w:tr>
        <w:trPr>
          <w:cantSplit w:val="0"/>
          <w:tblHeader w:val="0"/>
        </w:trPr>
        <w:tc>
          <w:tcPr>
            <w:vAlign w:val="top"/>
          </w:tcPr>
          <w:p>
            <w:r>
              <w:t>Mike</w:t>
            </w:r>
          </w:p>
        </w:tc>
        <w:tc>
          <w:tcPr>
            <w:vAlign w:val="top"/>
          </w:tcPr>
          <w:p>
            <w:r>
              <w:t>Desarrollador / Líder de Pruebas</w:t>
            </w:r>
          </w:p>
        </w:tc>
        <w:tc>
          <w:tcPr>
            <w:vAlign w:val="top"/>
          </w:tcPr>
          <w:p>
            <w:r>
              <w:t>codebymike.tech</w:t>
            </w:r>
          </w:p>
        </w:tc>
        <w:tc>
          <w:tcPr>
            <w:vAlign w:val="top"/>
          </w:tcPr>
          <w:p>
            <w:r>
              <w:t>26-08-2026</w:t>
            </w:r>
          </w:p>
        </w:tc>
        <w:tc>
          <w:tcPr>
            <w:vAlign w:val="top"/>
          </w:tcPr>
          <w:p>
            <w:r>
              <w:t>Mike</w:t>
            </w:r>
          </w:p>
        </w:tc>
      </w:tr>
      <w:tr>
        <w:trPr>
          <w:cantSplit w:val="0"/>
          <w:tblHeader w:val="0"/>
        </w:trPr>
        <w:tc>
          <w:tcPr>
            <w:vAlign w:val="top"/>
          </w:tcPr>
          <w:p w:rsidR="00000000" w:rsidDel="00000000" w:rsidP="00000000" w:rsidRDefault="00000000" w:rsidRPr="00000000" w14:paraId="0000009A">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9B">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C">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D">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E">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9F">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0">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A1">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2">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3">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4">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5">
            <w:pPr>
              <w:spacing w:after="0" w:line="240" w:lineRule="auto"/>
              <w:jc w:val="center"/>
              <w:rPr>
                <w:b w:val="0"/>
                <w:color w:val="000000"/>
                <w:sz w:val="20"/>
                <w:szCs w:val="20"/>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A6">
            <w:pPr>
              <w:spacing w:after="0" w:line="240" w:lineRule="auto"/>
              <w:jc w:val="center"/>
              <w:rPr>
                <w:b w:val="0"/>
                <w:color w:val="000000"/>
                <w:sz w:val="20"/>
                <w:szCs w:val="20"/>
                <w:vertAlign w:val="baseline"/>
              </w:rPr>
            </w:pPr>
            <w:r w:rsidDel="00000000" w:rsidR="00000000" w:rsidRPr="00000000">
              <w:rPr>
                <w:rtl w:val="0"/>
              </w:rPr>
            </w:r>
          </w:p>
          <w:p w:rsidR="00000000" w:rsidDel="00000000" w:rsidP="00000000" w:rsidRDefault="00000000" w:rsidRPr="00000000" w14:paraId="000000A7">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8">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9">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A">
            <w:pPr>
              <w:spacing w:after="0" w:line="240" w:lineRule="auto"/>
              <w:jc w:val="center"/>
              <w:rPr>
                <w:b w:val="0"/>
                <w:color w:val="000000"/>
                <w:sz w:val="20"/>
                <w:szCs w:val="20"/>
                <w:vertAlign w:val="baseline"/>
              </w:rPr>
            </w:pPr>
            <w:r w:rsidDel="00000000" w:rsidR="00000000" w:rsidRPr="00000000">
              <w:rPr>
                <w:rtl w:val="0"/>
              </w:rPr>
            </w:r>
          </w:p>
        </w:tc>
        <w:tc>
          <w:tcPr>
            <w:vAlign w:val="top"/>
          </w:tcPr>
          <w:p w:rsidR="00000000" w:rsidDel="00000000" w:rsidP="00000000" w:rsidRDefault="00000000" w:rsidRPr="00000000" w14:paraId="000000AB">
            <w:pPr>
              <w:spacing w:after="0" w:line="240" w:lineRule="auto"/>
              <w:jc w:val="center"/>
              <w:rPr>
                <w:b w:val="0"/>
                <w:color w:val="000000"/>
                <w:sz w:val="20"/>
                <w:szCs w:val="20"/>
                <w:vertAlign w:val="baseline"/>
              </w:rPr>
            </w:pPr>
            <w:r w:rsidDel="00000000" w:rsidR="00000000" w:rsidRPr="00000000">
              <w:rPr>
                <w:rtl w:val="0"/>
              </w:rPr>
            </w:r>
          </w:p>
        </w:tc>
      </w:tr>
    </w:tbl>
    <w:p w:rsidR="00000000" w:rsidDel="00000000" w:rsidP="00000000" w:rsidRDefault="00000000" w:rsidRPr="00000000" w14:paraId="000000AC">
      <w:pPr>
        <w:spacing w:after="0" w:lineRule="auto"/>
        <w:rPr>
          <w:vertAlign w:val="baseline"/>
        </w:rPr>
      </w:pPr>
      <w:r w:rsidDel="00000000" w:rsidR="00000000" w:rsidRPr="00000000">
        <w:rPr>
          <w:rtl w:val="0"/>
        </w:rPr>
      </w:r>
    </w:p>
    <w:p w:rsidR="00000000" w:rsidDel="00000000" w:rsidP="00000000" w:rsidRDefault="00000000" w:rsidRPr="00000000" w14:paraId="000000AD">
      <w:pPr>
        <w:spacing w:after="0" w:lineRule="auto"/>
        <w:rPr>
          <w:vertAlign w:val="baseline"/>
        </w:rPr>
      </w:pPr>
      <w:r w:rsidDel="00000000" w:rsidR="00000000" w:rsidRPr="00000000">
        <w:rPr>
          <w:rtl w:val="0"/>
        </w:rPr>
      </w:r>
    </w:p>
    <w:p w:rsidR="00000000" w:rsidDel="00000000" w:rsidP="00000000" w:rsidRDefault="00000000" w:rsidRPr="00000000" w14:paraId="000000AE">
      <w:pPr>
        <w:spacing w:after="0" w:lineRule="auto"/>
        <w:rPr>
          <w:vertAlign w:val="baseline"/>
        </w:rPr>
      </w:pPr>
      <w:r w:rsidDel="00000000" w:rsidR="00000000" w:rsidRPr="00000000">
        <w:rPr>
          <w:rtl w:val="0"/>
        </w:rPr>
      </w:r>
    </w:p>
    <w:p w:rsidR="00000000" w:rsidDel="00000000" w:rsidP="00000000" w:rsidRDefault="00000000" w:rsidRPr="00000000" w14:paraId="000000AF">
      <w:pPr>
        <w:spacing w:after="0" w:lineRule="auto"/>
        <w:rPr>
          <w:vertAlign w:val="baseline"/>
        </w:rPr>
      </w:pPr>
      <w:r w:rsidDel="00000000" w:rsidR="00000000" w:rsidRPr="00000000">
        <w:rPr>
          <w:rtl w:val="0"/>
        </w:rPr>
      </w:r>
    </w:p>
    <w:p w:rsidR="00000000" w:rsidDel="00000000" w:rsidP="00000000" w:rsidRDefault="00000000" w:rsidRPr="00000000" w14:paraId="000000B0">
      <w:pPr>
        <w:spacing w:after="0" w:lineRule="auto"/>
        <w:rPr>
          <w:vertAlign w:val="baseline"/>
        </w:rPr>
      </w:pPr>
      <w:r w:rsidDel="00000000" w:rsidR="00000000" w:rsidRPr="00000000">
        <w:rPr>
          <w:rtl w:val="0"/>
        </w:rPr>
      </w:r>
    </w:p>
    <w:p w:rsidR="00000000" w:rsidDel="00000000" w:rsidP="00000000" w:rsidRDefault="00000000" w:rsidRPr="00000000" w14:paraId="000000B1">
      <w:pPr>
        <w:spacing w:after="0" w:lineRule="auto"/>
        <w:rPr>
          <w:vertAlign w:val="baseline"/>
        </w:rPr>
      </w:pPr>
      <w:r w:rsidDel="00000000" w:rsidR="00000000" w:rsidRPr="00000000">
        <w:rPr>
          <w:rtl w:val="0"/>
        </w:rPr>
      </w:r>
    </w:p>
    <w:p w:rsidR="00000000" w:rsidDel="00000000" w:rsidP="00000000" w:rsidRDefault="00000000" w:rsidRPr="00000000" w14:paraId="000000B2">
      <w:pPr>
        <w:spacing w:after="0" w:lineRule="auto"/>
        <w:rPr>
          <w:vertAlign w:val="baseline"/>
        </w:rPr>
      </w:pPr>
      <w:r w:rsidDel="00000000" w:rsidR="00000000" w:rsidRPr="00000000">
        <w:rPr>
          <w:rtl w:val="0"/>
        </w:rPr>
      </w:r>
    </w:p>
    <w:p w:rsidR="00000000" w:rsidDel="00000000" w:rsidP="00000000" w:rsidRDefault="00000000" w:rsidRPr="00000000" w14:paraId="000000B3">
      <w:pPr>
        <w:spacing w:after="0" w:lineRule="auto"/>
        <w:rPr>
          <w:vertAlign w:val="baseline"/>
        </w:rPr>
      </w:pPr>
      <w:r w:rsidDel="00000000" w:rsidR="00000000" w:rsidRPr="00000000">
        <w:rPr>
          <w:rtl w:val="0"/>
        </w:rPr>
      </w:r>
    </w:p>
    <w:p w:rsidR="00000000" w:rsidDel="00000000" w:rsidP="00000000" w:rsidRDefault="00000000" w:rsidRPr="00000000" w14:paraId="000000B4">
      <w:pPr>
        <w:spacing w:after="0" w:lineRule="auto"/>
        <w:rPr>
          <w:vertAlign w:val="baseline"/>
        </w:rPr>
      </w:pPr>
      <w:r w:rsidDel="00000000" w:rsidR="00000000" w:rsidRPr="00000000">
        <w:rPr>
          <w:rtl w:val="0"/>
        </w:rPr>
      </w:r>
    </w:p>
    <w:p w:rsidR="00000000" w:rsidDel="00000000" w:rsidP="00000000" w:rsidRDefault="00000000" w:rsidRPr="00000000" w14:paraId="000000B5">
      <w:pPr>
        <w:spacing w:after="0" w:lineRule="auto"/>
        <w:rPr>
          <w:vertAlign w:val="baseline"/>
        </w:rPr>
      </w:pPr>
      <w:bookmarkStart w:colFirst="0" w:colLast="0" w:name="_heading=h.3znysh7" w:id="3"/>
      <w:bookmarkEnd w:id="3"/>
      <w:r w:rsidDel="00000000" w:rsidR="00000000" w:rsidRPr="00000000">
        <w:rPr>
          <w:rtl w:val="0"/>
        </w:rPr>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veat SemiBold" w:cs="Caveat SemiBold" w:eastAsia="Caveat SemiBold" w:hAnsi="Caveat SemiBold"/>
          <w:i w:val="0"/>
          <w:smallCaps w:val="0"/>
          <w:strike w:val="0"/>
          <w:u w:val="none"/>
          <w:shd w:fill="auto" w:val="clear"/>
          <w:vertAlign w:val="baseline"/>
        </w:rPr>
      </w:pPr>
      <w:r w:rsidDel="00000000" w:rsidR="00000000" w:rsidRPr="00000000">
        <w:rPr>
          <w:rFonts w:ascii="Caveat SemiBold" w:cs="Caveat SemiBold" w:eastAsia="Caveat SemiBold" w:hAnsi="Caveat SemiBold"/>
          <w:i w:val="0"/>
          <w:smallCaps w:val="0"/>
          <w:strike w:val="0"/>
          <w:u w:val="none"/>
          <w:shd w:fill="auto" w:val="clear"/>
          <w:vertAlign w:val="baseline"/>
          <w:rtl w:val="0"/>
        </w:rPr>
        <w:t xml:space="preserve">Resumen Ejecutivo</w:t>
      </w:r>
      <w:r w:rsidDel="00000000" w:rsidR="00000000" w:rsidRPr="00000000">
        <w:rPr>
          <w:rFonts w:ascii="Caveat SemiBold" w:cs="Caveat SemiBold" w:eastAsia="Caveat SemiBold" w:hAnsi="Caveat SemiBold"/>
          <w:i w:val="0"/>
          <w:smallCaps w:val="0"/>
          <w:strike w:val="0"/>
          <w:u w:val="none"/>
          <w:shd w:fill="auto" w:val="clear"/>
          <w:vertAlign w:val="baseline"/>
          <w:rtl w:val="0"/>
        </w:rPr>
        <w:t xml:space="preserve"> </w:t>
      </w:r>
    </w:p>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veat SemiBold" w:cs="Caveat SemiBold" w:eastAsia="Caveat SemiBold" w:hAnsi="Caveat SemiBold"/>
          <w:i w:val="0"/>
          <w:smallCaps w:val="0"/>
          <w:strike w:val="0"/>
          <w:u w:val="none"/>
          <w:shd w:fill="auto" w:val="clear"/>
          <w:vertAlign w:val="baseline"/>
        </w:rPr>
      </w:pPr>
      <w:r>
        <w:rPr>
          <w:b w:val="0"/>
        </w:rPr>
        <w:t>El plan de pruebas de codebymike.tech (portafolio, panel de administración, portal de clientes y laboratorio de ingeniería) cubre la estrategia de calidad ya implementada y operando en producción: pruebas unitarias y de integración con Vitest, pruebas end-to-end con Playwright, mutation testing con Stryker, análisis estático y dinámico de seguridad (SAST/DAST) y accesibilidad automatizada, todo integrado al pipeline de CI/CD de GitHub Actions y reportado en el propio panel del laboratorio (/admin/lab).</w:t>
      </w:r>
    </w:p>
    <w:p w:rsidR="00000000" w:rsidDel="00000000" w:rsidP="00000000" w:rsidRDefault="00000000" w:rsidRPr="00000000" w14:paraId="000000B9">
      <w:pPr>
        <w:shd w:fill="ffffff" w:val="clear"/>
        <w:spacing w:after="0" w:line="240" w:lineRule="auto"/>
        <w:rPr>
          <w:rFonts w:ascii="Caveat SemiBold" w:cs="Caveat SemiBold" w:eastAsia="Caveat SemiBold" w:hAnsi="Caveat SemiBold"/>
        </w:rPr>
      </w:pPr>
      <w:bookmarkStart w:colFirst="0" w:colLast="0" w:name="_heading=h.2et92p0" w:id="4"/>
      <w:bookmarkEnd w:id="4"/>
      <w:r w:rsidDel="00000000" w:rsidR="00000000" w:rsidRPr="00000000">
        <w:rPr>
          <w:rFonts w:ascii="Caveat SemiBold" w:cs="Caveat SemiBold" w:eastAsia="Caveat SemiBold" w:hAnsi="Caveat SemiBold"/>
          <w:rtl w:val="0"/>
        </w:rPr>
        <w:br w:type="textWrapping"/>
      </w:r>
      <w:r w:rsidDel="00000000" w:rsidR="00000000" w:rsidRPr="00000000">
        <w:rPr>
          <w:rFonts w:ascii="Caveat SemiBold" w:cs="Caveat SemiBold" w:eastAsia="Caveat SemiBold" w:hAnsi="Caveat SemiBold"/>
          <w:rtl w:val="0"/>
        </w:rPr>
        <w:t xml:space="preserve">Alcance de las Pruebas</w:t>
      </w:r>
    </w:p>
    <w:p w:rsidR="00000000" w:rsidDel="00000000" w:rsidP="00000000" w:rsidRDefault="00000000" w:rsidRPr="00000000" w14:paraId="000000B9">
      <w:pPr>
        <w:shd w:fill="ffffff" w:val="clear"/>
        <w:spacing w:after="0" w:line="240" w:lineRule="auto"/>
        <w:rPr>
          <w:rFonts w:ascii="Caveat SemiBold" w:cs="Caveat SemiBold" w:eastAsia="Caveat SemiBold" w:hAnsi="Caveat SemiBold"/>
        </w:rPr>
      </w:pPr>
      <w:bookmarkStart w:colFirst="0" w:colLast="0" w:name="_heading=h.2et92p0" w:id="4"/>
      <w:bookmarkEnd w:id="4"/>
      <w:r>
        <w:rPr>
          <w:b w:val="0"/>
        </w:rPr>
        <w:t>Cobertura de lógica de negocio pura (src/lib/: pagos, portal de clientes, seguridad, i18n), APIs (src/pages/api/), y flujos end-to-end críticos del sitio público, el portal y el panel de administración.</w:t>
      </w:r>
    </w:p>
    <w:p w:rsidR="00000000" w:rsidDel="00000000" w:rsidP="00000000" w:rsidRDefault="00000000" w:rsidRPr="00000000" w14:paraId="000000B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Módulos, Componentes o Elementos a Probar:</w:t>
      </w:r>
    </w:p>
    <w:p w:rsidR="00000000" w:rsidDel="00000000" w:rsidP="00000000" w:rsidRDefault="00000000" w:rsidRPr="00000000" w14:paraId="000000B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Pr>
          <w:b w:val="0"/>
        </w:rPr>
        <w:t>Lógica pura (pagos, portal, micro-SIEM, i18n), APIs de admin/portal/cron/pagos, flujos e2e (contacto, portal, público, demo, autenticación, pagos), seguridad de dependencias y código, seguridad dinámica de la app desplegada, y accesibilidad de páginas públicas.</w:t>
      </w:r>
    </w:p>
    <w:p w:rsidR="00000000" w:rsidDel="00000000" w:rsidP="00000000" w:rsidRDefault="00000000" w:rsidRPr="00000000" w14:paraId="000000C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Nuevas Funcionalidades a Probar</w:t>
      </w:r>
    </w:p>
    <w:p w:rsidR="00000000" w:rsidDel="00000000" w:rsidP="00000000" w:rsidRDefault="00000000" w:rsidRPr="00000000" w14:paraId="000000C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Cada feature nueva incorpora sus propios tests unitarios (y e2e cuando aplica el flujo) antes de mergear a main: ningún cambio en src/lib/ se considera terminado sin su test en Vitest.</w:t>
      </w:r>
    </w:p>
    <w:p w:rsidR="00000000" w:rsidDel="00000000" w:rsidP="00000000" w:rsidRDefault="00000000" w:rsidRPr="00000000" w14:paraId="000000D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Pruebas de Regresión</w:t>
      </w:r>
    </w:p>
    <w:p w:rsidR="00000000" w:rsidDel="00000000" w:rsidP="00000000" w:rsidRDefault="00000000" w:rsidRPr="00000000" w14:paraId="000000D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La suite completa de Vitest y Playwright corre en cada push y cada pull request contra main (ci.yml), evitando que un cambio nuevo rompa funcionalidad ya validada.</w:t>
      </w:r>
    </w:p>
    <w:p w:rsidR="00000000" w:rsidDel="00000000" w:rsidP="00000000" w:rsidRDefault="00000000" w:rsidRPr="00000000" w14:paraId="000000D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Funcionalidades a No Probar</w:t>
      </w:r>
    </w:p>
    <w:p w:rsidR="00000000" w:rsidDel="00000000" w:rsidP="00000000" w:rsidRDefault="00000000" w:rsidRPr="00000000" w14:paraId="000000D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Nunca se ejecuta carga ni DAST contra codebymike.tech (producción); las integraciones opcionales (ntfy, Resend) no se prueban contra el proveedor real cuando falta su credencial, por diseño (no-op silencioso).</w:t>
      </w:r>
    </w:p>
    <w:p w:rsidR="00000000" w:rsidDel="00000000" w:rsidP="00000000" w:rsidRDefault="00000000" w:rsidRPr="00000000" w14:paraId="000000DC">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Enfoque de Pruebas (Estrategia)</w:t>
      </w:r>
    </w:p>
    <w:p w:rsidR="00000000" w:rsidDel="00000000" w:rsidP="00000000" w:rsidRDefault="00000000" w:rsidRPr="00000000" w14:paraId="000000DC">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Pirámide de pruebas: unitarias (Vitest) como base, e2e (Playwright) para flujos críticos, y una capa transversal de mutación, SAST, DAST y accesibilidad que corre en el pipeline de CI/CD.</w:t>
      </w:r>
    </w:p>
    <w:p w:rsidR="00000000" w:rsidDel="00000000" w:rsidP="00000000" w:rsidRDefault="00000000" w:rsidRPr="00000000" w14:paraId="000000E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Criterios de Aceptación o Rechazo</w:t>
      </w:r>
    </w:p>
    <w:p w:rsidR="00000000" w:rsidDel="00000000" w:rsidP="00000000" w:rsidRDefault="00000000" w:rsidRPr="00000000" w14:paraId="000000E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La suite de Vitest y Playwright debe estar 100% en verde antes de mergear a main; el deploy a producción solo se acepta si /api/health responde sano tras el despliegue.</w:t>
      </w:r>
    </w:p>
    <w:p w:rsidR="00000000" w:rsidDel="00000000" w:rsidP="00000000" w:rsidRDefault="00000000" w:rsidRPr="00000000" w14:paraId="000000E6">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Criterios de Suspensión</w:t>
      </w:r>
    </w:p>
    <w:p w:rsidR="00000000" w:rsidDel="00000000" w:rsidP="00000000" w:rsidRDefault="00000000" w:rsidRPr="00000000" w14:paraId="000000E6">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Un hallazgo crítico de seguridad (SAST/DAST) o un healthcheck fallido tras el deploy suspenden la promoción de esa versión.</w:t>
      </w:r>
    </w:p>
    <w:p w:rsidR="00000000" w:rsidDel="00000000" w:rsidP="00000000" w:rsidRDefault="00000000" w:rsidRPr="00000000" w14:paraId="000000E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Criterios de Reanudación</w:t>
      </w:r>
    </w:p>
    <w:p w:rsidR="00000000" w:rsidDel="00000000" w:rsidP="00000000" w:rsidRDefault="00000000" w:rsidRPr="00000000" w14:paraId="000000E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Se retoma el pipeline en el siguiente push a main una vez corregido el hallazgo o la regresión.</w:t>
      </w:r>
    </w:p>
    <w:p w:rsidR="00000000" w:rsidDel="00000000" w:rsidP="00000000" w:rsidRDefault="00000000" w:rsidRPr="00000000" w14:paraId="000000EE">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Entregables</w:t>
      </w:r>
    </w:p>
    <w:p w:rsidR="00000000" w:rsidDel="00000000" w:rsidP="00000000" w:rsidRDefault="00000000" w:rsidRPr="00000000" w14:paraId="000000EE">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Suite de Vitest (tests/) y Playwright (e2e/), reportes de cobertura, hallazgos de seguridad/accesibilidad en /admin/lab/security y /lab, score de mutación cuando se ejecuta, y logs de cada workflow en GitHub Actions.</w:t>
      </w:r>
    </w:p>
    <w:p w:rsidR="00000000" w:rsidDel="00000000" w:rsidP="00000000" w:rsidRDefault="00000000" w:rsidRPr="00000000" w14:paraId="000000F4">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Recursos</w:t>
      </w:r>
    </w:p>
    <w:p w:rsidR="00000000" w:rsidDel="00000000" w:rsidP="00000000" w:rsidRDefault="00000000" w:rsidRPr="00000000" w14:paraId="000000F4">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Infraestructura serverless (sin hardware físico dedicado) y herramientas de código abierto integradas al pipeline.</w:t>
      </w:r>
    </w:p>
    <w:p w:rsidR="00000000" w:rsidDel="00000000" w:rsidP="00000000" w:rsidRDefault="00000000" w:rsidRPr="00000000" w14:paraId="000000F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Requerimientos de Entornos – Hardware</w:t>
      </w:r>
    </w:p>
    <w:p w:rsidR="00000000" w:rsidDel="00000000" w:rsidP="00000000" w:rsidRDefault="00000000" w:rsidRPr="00000000" w14:paraId="000000F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Pr>
          <w:b w:val="0"/>
        </w:rPr>
        <w:t>No aplica hardware físico dedicado: runners de GitHub Actions (ubuntu-latest) para CI, Vercel Functions (Fluid Compute) para producción, y Turso/libSQL como base de datos.</w:t>
      </w:r>
    </w:p>
    <w:p w:rsidR="00000000" w:rsidDel="00000000" w:rsidP="00000000" w:rsidRDefault="00000000" w:rsidRPr="00000000" w14:paraId="000000F9">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Requerimientos de Entornos – Software</w:t>
      </w:r>
    </w:p>
    <w:p w:rsidR="00000000" w:rsidDel="00000000" w:rsidP="00000000" w:rsidRDefault="00000000" w:rsidRPr="00000000" w14:paraId="000000F9">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Pr>
          <w:b w:val="0"/>
        </w:rPr>
        <w:t>Node.js &gt;=22.12, Vitest, Playwright, Stryker, npm audit, CodeQL, OWASP ZAP, axe-core, Drizzle ORM.</w:t>
      </w:r>
    </w:p>
    <w:p w:rsidR="00000000" w:rsidDel="00000000" w:rsidP="00000000" w:rsidRDefault="00000000" w:rsidRPr="00000000" w14:paraId="000000FC">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Herramientas de Pruebas Requeridas</w:t>
      </w:r>
    </w:p>
    <w:p w:rsidR="00000000" w:rsidDel="00000000" w:rsidP="00000000" w:rsidRDefault="00000000" w:rsidRPr="00000000" w14:paraId="000000FC">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Pr>
          <w:b w:val="0"/>
        </w:rPr>
        <w:t>Vitest y Playwright para automatización; el propio panel /admin/lab/* como software de gestión de resultados de pruebas.</w:t>
      </w:r>
    </w:p>
    <w:p w:rsidR="00000000" w:rsidDel="00000000" w:rsidP="00000000" w:rsidRDefault="00000000" w:rsidRPr="00000000" w14:paraId="000000FF">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Personal</w:t>
      </w:r>
    </w:p>
    <w:p w:rsidR="00000000" w:rsidDel="00000000" w:rsidP="00000000" w:rsidRDefault="00000000" w:rsidRPr="00000000" w14:paraId="000000FF">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Mike: líder de pruebas, analista y especialista en automatización (proyecto de una sola persona, varios roles).</w:t>
      </w:r>
    </w:p>
    <w:p w:rsidR="00000000" w:rsidDel="00000000" w:rsidP="00000000" w:rsidRDefault="00000000" w:rsidRPr="00000000" w14:paraId="00000103">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Entrenamiento</w:t>
      </w:r>
    </w:p>
    <w:p w:rsidR="00000000" w:rsidDel="00000000" w:rsidP="00000000" w:rsidRDefault="00000000" w:rsidRPr="00000000" w14:paraId="00000103">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No aplica entrenamiento externo: la infraestructura de pruebas fue diseñada e implementada por el mismo desarrollador que la opera.</w:t>
      </w:r>
    </w:p>
    <w:p w:rsidR="00000000" w:rsidDel="00000000" w:rsidP="00000000" w:rsidRDefault="00000000" w:rsidRPr="00000000" w14:paraId="0000010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Planificación y Organización</w:t>
      </w:r>
    </w:p>
    <w:p w:rsidR="00000000" w:rsidDel="00000000" w:rsidP="00000000" w:rsidRDefault="00000000" w:rsidRPr="00000000" w14:paraId="00000105">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Las pruebas no siguen un cronograma de proyecto único: corren de forma continua, disparadas por eventos del pipeline (push, PR, cron semanal, o manualmente).</w:t>
      </w:r>
    </w:p>
    <w:p w:rsidR="00000000" w:rsidDel="00000000" w:rsidP="00000000" w:rsidRDefault="00000000" w:rsidRPr="00000000" w14:paraId="00000106">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Procedimientos para las Pruebas</w:t>
      </w:r>
    </w:p>
    <w:p w:rsidR="00000000" w:rsidDel="00000000" w:rsidP="00000000" w:rsidRDefault="00000000" w:rsidRPr="00000000" w14:paraId="00000106">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Pr>
          <w:b w:val="0"/>
        </w:rPr>
        <w:t>TDD parcial en lógica pura de src/lib/; BD real en archivo temporal de libSQL cuando hay concurrencia o restricciones UNIQUE de por medio.</w:t>
      </w:r>
    </w:p>
    <w:p w:rsidR="00000000" w:rsidDel="00000000" w:rsidP="00000000" w:rsidRDefault="00000000" w:rsidRPr="00000000" w14:paraId="00000108">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Matriz de Responsabilidades</w:t>
      </w:r>
    </w:p>
    <w:p w:rsidR="00000000" w:rsidDel="00000000" w:rsidP="00000000" w:rsidRDefault="00000000" w:rsidRPr="00000000" w14:paraId="00000108">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rFonts w:ascii="Caveat SemiBold" w:cs="Caveat SemiBold" w:eastAsia="Caveat SemiBold" w:hAnsi="Caveat SemiBold"/>
        </w:rPr>
      </w:pPr>
      <w:r>
        <w:rPr>
          <w:b w:val="0"/>
        </w:rPr>
        <w:t>Una sola persona ejerce todos los roles de QA; ver el RACI detallado en la Matriz de Responsabilidades del capítulo siguiente.</w:t>
      </w:r>
    </w:p>
    <w:p w:rsidR="00000000" w:rsidDel="00000000" w:rsidP="00000000" w:rsidRDefault="00000000" w:rsidRPr="00000000" w14:paraId="0000010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Cronograma</w:t>
      </w:r>
    </w:p>
    <w:p w:rsidR="00000000" w:rsidDel="00000000" w:rsidP="00000000" w:rsidRDefault="00000000" w:rsidRPr="00000000" w14:paraId="0000010A">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Cadencia continua ligada a eventos de CI/CD, no a fechas fijas de un proyecto con fin determinado; ver el detalle en el capítulo de Cronograma.</w:t>
      </w:r>
    </w:p>
    <w:p w:rsidR="00000000" w:rsidDel="00000000" w:rsidP="00000000" w:rsidRDefault="00000000" w:rsidRPr="00000000" w14:paraId="0000010D">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Premisas</w:t>
      </w:r>
    </w:p>
    <w:p w:rsidR="00000000" w:rsidDel="00000000" w:rsidP="00000000" w:rsidRDefault="00000000" w:rsidRPr="00000000" w14:paraId="0000010D">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El pipeline de GitHub Actions y el auto-deploy de Vercel son el ambiente de referencia; los secrets opcionales degradan con gracia si faltan.</w:t>
      </w:r>
    </w:p>
    <w:p w:rsidR="00000000" w:rsidDel="00000000" w:rsidP="00000000" w:rsidRDefault="00000000" w:rsidRPr="00000000" w14:paraId="0000011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Dependencias y Riesgos</w:t>
      </w:r>
    </w:p>
    <w:p w:rsidR="00000000" w:rsidDel="00000000" w:rsidP="00000000" w:rsidRDefault="00000000" w:rsidRPr="00000000" w14:paraId="00000111">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Principal riesgo: dependencia de VERCEL_TOKEN para el rollback automático, y cuota de lecturas de Turso si una prueba apunta por error a la base de datos real.</w:t>
      </w:r>
    </w:p>
    <w:p w:rsidR="00000000" w:rsidDel="00000000" w:rsidP="00000000" w:rsidRDefault="00000000" w:rsidRPr="00000000" w14:paraId="00000117">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sidDel="00000000" w:rsidR="00000000" w:rsidRPr="00000000">
        <w:rPr>
          <w:rFonts w:ascii="Caveat SemiBold" w:cs="Caveat SemiBold" w:eastAsia="Caveat SemiBold" w:hAnsi="Caveat SemiBold"/>
          <w:rtl w:val="0"/>
        </w:rPr>
        <w:t xml:space="preserve">Referencias</w:t>
      </w:r>
    </w:p>
    <w:p w:rsidR="00000000" w:rsidDel="00000000" w:rsidP="00000000" w:rsidRDefault="00000000" w:rsidRPr="00000000" w14:paraId="00000117">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84.00000000000006" w:lineRule="auto"/>
        <w:rPr>
          <w:rFonts w:ascii="Caveat SemiBold" w:cs="Caveat SemiBold" w:eastAsia="Caveat SemiBold" w:hAnsi="Caveat SemiBold"/>
        </w:rPr>
      </w:pPr>
      <w:r>
        <w:rPr>
          <w:b w:val="0"/>
        </w:rPr>
        <w:t>docs/plan-lab.md, docs/plan-lab-fases-pendientes.md, CLAUDE.md.</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Alcance de las Pruebas</w:t>
      </w:r>
    </w:p>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El plan cubre la estrategia de pruebas automatizadas del proyecto codebymike.tech: portafolio público, panel de administración privado, portal de clientes y laboratorio de ingeniería. Se prueban tanto los componentes de software (lógica pura, APIs, páginas) como los procesos de calidad que rodean cada despliegue (CI/CD, seguridad, accesibilidad).</w:t>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sidDel="00000000" w:rsidR="00000000" w:rsidRPr="00000000">
        <w:rPr>
          <w:rtl w:val="0"/>
        </w:rPr>
        <w:t xml:space="preserve">Módulos, Componentes o Elementos a Probar:</w:t>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Pr>
          <w:b w:val="0"/>
        </w:rPr>
        <w:t>Lógica pura (src/lib/): pagos (máquina de estados en payments-state.ts, idempotencia en payments.ts), portal de clientes (sesiones, aislamiento por clientId), seguridad (micro-SIEM: clasificador de amenazas, rate limiting durable, blocklist), i18n (diccionarios y enrutamiento).</w:t>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Pr>
          <w:b w:val="0"/>
        </w:rPr>
        <w:t>APIs (src/pages/api/): admin (bajo sesión admin), portal (bajo sesión de cliente), cron (bearer CRON_SECRET), pagos.</w:t>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Pr>
          <w:b w:val="0"/>
        </w:rPr>
        <w:t>Flujos end-to-end (Playwright, e2e/): contact.spec.ts, portal.spec.ts, public.spec.ts, demo.spec.ts, auth.spec.ts, payments.spec.ts.</w:t>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Pr>
          <w:b w:val="0"/>
        </w:rPr>
        <w:t>Seguridad estática (SAST): dependencias (npm audit) y código (CodeQL).</w:t>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Pr>
          <w:b w:val="0"/>
        </w:rPr>
        <w:t>Seguridad dinámica (DAST): OWASP ZAP baseline contra el preview deployment de cada PR.</w:t>
      </w:r>
    </w:p>
    <w:p w:rsidR="00000000" w:rsidDel="00000000" w:rsidP="00000000" w:rsidRDefault="00000000" w:rsidRPr="00000000" w14:paraId="00000120">
      <w:pPr>
        <w:keepNext w:val="0"/>
        <w:keepLines w:val="0"/>
        <w:pBdr>
          <w:top w:color="d9d9e3" w:space="0" w:sz="0" w:val="none"/>
          <w:left w:color="d9d9e3" w:space="0" w:sz="0" w:val="none"/>
          <w:bottom w:color="d9d9e3" w:space="0" w:sz="0" w:val="none"/>
          <w:right w:color="d9d9e3" w:space="0" w:sz="0" w:val="none"/>
          <w:between w:color="d9d9e3" w:space="0" w:sz="0" w:val="none"/>
        </w:pBdr>
        <w:shd w:fill="ffffff" w:val="clear"/>
        <w:spacing w:line="360" w:lineRule="auto"/>
        <w:rPr/>
      </w:pPr>
      <w:r>
        <w:rPr>
          <w:b w:val="0"/>
        </w:rPr>
        <w:t>Accesibilidad (a11y): axe-core sobre las páginas públicas.</w:t>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00b050"/>
          <w:sz w:val="22"/>
          <w:szCs w:val="22"/>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Nuevas Funcionalidades a Probar</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135">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00b050"/>
          <w:sz w:val="22"/>
          <w:szCs w:val="22"/>
          <w:u w:val="none"/>
          <w:shd w:fill="auto" w:val="clear"/>
          <w:vertAlign w:val="baseline"/>
        </w:rPr>
      </w:pPr>
      <w:r>
        <w:rPr>
          <w:b w:val="0"/>
        </w:rPr>
        <w:t>Regla del repo (CLAUDE.md, «Al añadir una feature grande»): si toca dinero o datos personales se revisa primero si payments.ts, lib/security/* o lib/notify.ts ya resuelven parte del problema; toda migración de schema es aditiva; se agregan tests de lógica pura primero y de integración con libSQL temporal si hay concurrencia o UNIQUE de por medio; una feature grande termina con su caso de estudio en src/content/notes/.</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Pruebas de Regresión</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4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Pr>
          <w:b w:val="0"/>
        </w:rPr>
        <w:t>ci.yml corre test (Vitest) y build en cada push y cada pull request; en main, además espera el auto-deploy de Vercel, lo verifica contra /api/health y ejecuta rollback automático si la nueva versión no responde sana. La regresión no se limita al código: también cubre la salud del propio despliegue.</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Funcionalidades a No Probar</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Pr>
          <w:b w:val="0"/>
        </w:rPr>
        <w:t>Carga (k6) y DAST nunca se dirigen a codebymike.tech: el guardarraíl de lab/k6/lib/perfil.js aborta cualquier corrida cuya URL o base de datos apunte a producción, y el workflow de DAST usa siempre la URL del preview deployment de GitHub. Motivo: Vercel factura por invocación y CPU activa, y Turso tiene cuota de filas en el plan gratuito, y un incidente real de agosto de 2026 agotó la cuota de lecturas al correr k6 sin este guardarraíl.</w:t>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Enfoque de Pruebas (Estrategia)</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tbl>
      <w:tblPr>
        <w:tblStyle w:val="Table2"/>
        <w:tblW w:type="auto" w:w="0"/>
        <w:tblLook w:firstColumn="1" w:firstRow="1" w:lastColumn="0" w:lastRow="0" w:noHBand="0" w:noVBand="1" w:val="04A0"/>
      </w:tblPr>
      <w:tblGrid>
        <w:gridCol w:w="2209"/>
        <w:gridCol w:w="2209"/>
        <w:gridCol w:w="2209"/>
        <w:gridCol w:w="2209"/>
      </w:tblGrid>
      <w:tr>
        <w:tc>
          <w:tcPr>
            <w:tcW w:type="dxa" w:w="2209"/>
          </w:tcPr>
          <w:p>
            <w:r>
              <w:t>Tipo de prueba</w:t>
            </w:r>
          </w:p>
        </w:tc>
        <w:tc>
          <w:tcPr>
            <w:tcW w:type="dxa" w:w="2209"/>
          </w:tcPr>
          <w:p>
            <w:r>
              <w:t>Herramienta</w:t>
            </w:r>
          </w:p>
        </w:tc>
        <w:tc>
          <w:tcPr>
            <w:tcW w:type="dxa" w:w="2209"/>
          </w:tcPr>
          <w:p>
            <w:r>
              <w:t>Disparador</w:t>
            </w:r>
          </w:p>
        </w:tc>
        <w:tc>
          <w:tcPr>
            <w:tcW w:type="dxa" w:w="2209"/>
          </w:tcPr>
          <w:p>
            <w:r>
              <w:t>Frecuencia</w:t>
            </w:r>
          </w:p>
        </w:tc>
      </w:tr>
      <w:tr>
        <w:tc>
          <w:tcPr>
            <w:tcW w:type="dxa" w:w="2209"/>
          </w:tcPr>
          <w:p>
            <w:r>
              <w:t>Unitarias</w:t>
            </w:r>
          </w:p>
        </w:tc>
        <w:tc>
          <w:tcPr>
            <w:tcW w:type="dxa" w:w="2209"/>
          </w:tcPr>
          <w:p>
            <w:r>
              <w:t>Vitest</w:t>
            </w:r>
          </w:p>
        </w:tc>
        <w:tc>
          <w:tcPr>
            <w:tcW w:type="dxa" w:w="2209"/>
          </w:tcPr>
          <w:p>
            <w:r>
              <w:t>push / pull request</w:t>
            </w:r>
          </w:p>
        </w:tc>
        <w:tc>
          <w:tcPr>
            <w:tcW w:type="dxa" w:w="2209"/>
          </w:tcPr>
          <w:p>
            <w:r>
              <w:t>cada cambio (ci.yml)</w:t>
            </w:r>
          </w:p>
        </w:tc>
      </w:tr>
      <w:tr>
        <w:tc>
          <w:tcPr>
            <w:tcW w:type="dxa" w:w="2209"/>
          </w:tcPr>
          <w:p>
            <w:r>
              <w:t>E2E</w:t>
            </w:r>
          </w:p>
        </w:tc>
        <w:tc>
          <w:tcPr>
            <w:tcW w:type="dxa" w:w="2209"/>
          </w:tcPr>
          <w:p>
            <w:r>
              <w:t>Playwright</w:t>
            </w:r>
          </w:p>
        </w:tc>
        <w:tc>
          <w:tcPr>
            <w:tcW w:type="dxa" w:w="2209"/>
          </w:tcPr>
          <w:p>
            <w:r>
              <w:t>push / pull request</w:t>
            </w:r>
          </w:p>
        </w:tc>
        <w:tc>
          <w:tcPr>
            <w:tcW w:type="dxa" w:w="2209"/>
          </w:tcPr>
          <w:p>
            <w:r>
              <w:t>cada cambio (ci.yml, test:e2e:server)</w:t>
            </w:r>
          </w:p>
        </w:tc>
      </w:tr>
      <w:tr>
        <w:tc>
          <w:tcPr>
            <w:tcW w:type="dxa" w:w="2209"/>
          </w:tcPr>
          <w:p>
            <w:r>
              <w:t>SAST</w:t>
            </w:r>
          </w:p>
        </w:tc>
        <w:tc>
          <w:tcPr>
            <w:tcW w:type="dxa" w:w="2209"/>
          </w:tcPr>
          <w:p>
            <w:r>
              <w:t>npm audit + CodeQL</w:t>
            </w:r>
          </w:p>
        </w:tc>
        <w:tc>
          <w:tcPr>
            <w:tcW w:type="dxa" w:w="2209"/>
          </w:tcPr>
          <w:p>
            <w:r>
              <w:t>push / PR + cron</w:t>
            </w:r>
          </w:p>
        </w:tc>
        <w:tc>
          <w:tcPr>
            <w:tcW w:type="dxa" w:w="2209"/>
          </w:tcPr>
          <w:p>
            <w:r>
              <w:t>cada cambio y domingos 06:00 UTC (security.yml)</w:t>
            </w:r>
          </w:p>
        </w:tc>
      </w:tr>
      <w:tr>
        <w:tc>
          <w:tcPr>
            <w:tcW w:type="dxa" w:w="2209"/>
          </w:tcPr>
          <w:p>
            <w:r>
              <w:t>DAST</w:t>
            </w:r>
          </w:p>
        </w:tc>
        <w:tc>
          <w:tcPr>
            <w:tcW w:type="dxa" w:w="2209"/>
          </w:tcPr>
          <w:p>
            <w:r>
              <w:t>OWASP ZAP baseline</w:t>
            </w:r>
          </w:p>
        </w:tc>
        <w:tc>
          <w:tcPr>
            <w:tcW w:type="dxa" w:w="2209"/>
          </w:tcPr>
          <w:p>
            <w:r>
              <w:t>pull request</w:t>
            </w:r>
          </w:p>
        </w:tc>
        <w:tc>
          <w:tcPr>
            <w:tcW w:type="dxa" w:w="2209"/>
          </w:tcPr>
          <w:p>
            <w:r>
              <w:t>cada PR, contra preview deployment (dast.yml)</w:t>
            </w:r>
          </w:p>
        </w:tc>
      </w:tr>
      <w:tr>
        <w:tc>
          <w:tcPr>
            <w:tcW w:type="dxa" w:w="2209"/>
          </w:tcPr>
          <w:p>
            <w:r>
              <w:t>Accesibilidad</w:t>
            </w:r>
          </w:p>
        </w:tc>
        <w:tc>
          <w:tcPr>
            <w:tcW w:type="dxa" w:w="2209"/>
          </w:tcPr>
          <w:p>
            <w:r>
              <w:t>axe-core</w:t>
            </w:r>
          </w:p>
        </w:tc>
        <w:tc>
          <w:tcPr>
            <w:tcW w:type="dxa" w:w="2209"/>
          </w:tcPr>
          <w:p>
            <w:r>
              <w:t>push / pull request</w:t>
            </w:r>
          </w:p>
        </w:tc>
        <w:tc>
          <w:tcPr>
            <w:tcW w:type="dxa" w:w="2209"/>
          </w:tcPr>
          <w:p>
            <w:r>
              <w:t>cada cambio (a11y.yml)</w:t>
            </w:r>
          </w:p>
        </w:tc>
      </w:tr>
      <w:tr>
        <w:tc>
          <w:tcPr>
            <w:tcW w:type="dxa" w:w="2209"/>
          </w:tcPr>
          <w:p>
            <w:r>
              <w:t>Mutación</w:t>
            </w:r>
          </w:p>
        </w:tc>
        <w:tc>
          <w:tcPr>
            <w:tcW w:type="dxa" w:w="2209"/>
          </w:tcPr>
          <w:p>
            <w:r>
              <w:t>Stryker</w:t>
            </w:r>
          </w:p>
        </w:tc>
        <w:tc>
          <w:tcPr>
            <w:tcW w:type="dxa" w:w="2209"/>
          </w:tcPr>
          <w:p>
            <w:r>
              <w:t>workflow_dispatch + cron</w:t>
            </w:r>
          </w:p>
        </w:tc>
        <w:tc>
          <w:tcPr>
            <w:tcW w:type="dxa" w:w="2209"/>
          </w:tcPr>
          <w:p>
            <w:r>
              <w:t>domingos 08:00 UTC (mutation.yml)</w:t>
            </w:r>
          </w:p>
        </w:tc>
      </w:tr>
      <w:tr>
        <w:tc>
          <w:tcPr>
            <w:tcW w:type="dxa" w:w="2209"/>
          </w:tcPr>
          <w:p>
            <w:r>
              <w:t>Verificación de deploy + rollback</w:t>
            </w:r>
          </w:p>
        </w:tc>
        <w:tc>
          <w:tcPr>
            <w:tcW w:type="dxa" w:w="2209"/>
          </w:tcPr>
          <w:p>
            <w:r>
              <w:t>ci.yml + Vercel</w:t>
            </w:r>
          </w:p>
        </w:tc>
        <w:tc>
          <w:tcPr>
            <w:tcW w:type="dxa" w:w="2209"/>
          </w:tcPr>
          <w:p>
            <w:r>
              <w:t>push a main</w:t>
            </w:r>
          </w:p>
        </w:tc>
        <w:tc>
          <w:tcPr>
            <w:tcW w:type="dxa" w:w="2209"/>
          </w:tcPr>
          <w:p>
            <w:r>
              <w:t>cada deploy a producción</w:t>
            </w:r>
          </w:p>
        </w:tc>
      </w:tr>
    </w:tbl>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Pr>
          <w:b w:val="0"/>
        </w:rPr>
        <w:t>Tipo de prueba, herramienta, disparador y frecuencia de cada capa de la estrategia:</w:t>
      </w:r>
    </w:p>
    <w:p w:rsidR="00000000" w:rsidDel="00000000" w:rsidP="00000000" w:rsidRDefault="00000000" w:rsidRPr="00000000" w14:paraId="0000018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Criterios de Aceptación o Rechazo</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3rdcrjn" w:id="12"/>
      <w:bookmarkEnd w:id="12"/>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 Criterios de Aceptación o Rechazo </w:t>
      </w:r>
    </w:p>
    <w:p w:rsidR="00000000" w:rsidDel="00000000" w:rsidP="00000000" w:rsidRDefault="00000000" w:rsidRPr="00000000" w14:paraId="0000018E">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3rdcrjn" w:id="12"/>
      <w:bookmarkEnd w:id="12"/>
      <w:r>
        <w:rPr>
          <w:b w:val="0"/>
        </w:rPr>
        <w:t>100% de los 898 tests de Vitest y 40 tests e2e de Playwright en verde; cobertura medida con npm run test:coverage (sin gate estricto de porcentaje, pero se revisa en cada feature grande); /api/health debe responder sano tras cada deploy a producción para que ci.yml considere el release aceptado.</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Criterios de Suspensión</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Pr>
          <w:b w:val="0"/>
        </w:rPr>
        <w:t>Un hallazgo de severidad crítica en npm audit/CodeQL (SAST) o en el baseline de ZAP (DAST) bloquea el merge hasta remediarlo o aceptarlo explícitamente como riesgo conocido en /admin/lab/security. Si /api/health falla tras un deploy a main, ci.yml ejecuta rollback automático (requiere VERCEL_TOKEN) y notifica por ntfy si está configurado.</w:t>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Criterios de Reanudación</w:t>
      </w:r>
      <w:r w:rsidDel="00000000" w:rsidR="00000000" w:rsidRPr="00000000">
        <w:rPr>
          <w:rtl w:val="0"/>
        </w:rPr>
      </w:r>
    </w:p>
    <w:p w:rsidR="00000000" w:rsidDel="00000000" w:rsidP="00000000" w:rsidRDefault="00000000" w:rsidRPr="00000000" w14:paraId="000001AD">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r>
        <w:rPr>
          <w:b w:val="0"/>
        </w:rPr>
        <w:t>Se reanuda con el siguiente push a main una vez corregido el hallazgo o revertido el cambio que causó la regresión; el pipeline completo (test, build, deploy, healthcheck) vuelve a correr desde cero.</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Entregables</w:t>
      </w:r>
      <w:r w:rsidDel="00000000" w:rsidR="00000000" w:rsidRPr="00000000">
        <w:rPr>
          <w:rFonts w:ascii="Calibri" w:cs="Calibri" w:eastAsia="Calibri" w:hAnsi="Calibri"/>
          <w:b w:val="1"/>
          <w:i w:val="0"/>
          <w:smallCaps w:val="0"/>
          <w:strike w:val="0"/>
          <w:color w:val="222222"/>
          <w:sz w:val="22"/>
          <w:szCs w:val="22"/>
          <w:u w:val="none"/>
          <w:shd w:fill="auto" w:val="clear"/>
          <w:vertAlign w:val="baseline"/>
          <w:rtl w:val="0"/>
        </w:rPr>
        <w:t xml:space="preserve"> </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Pr>
          <w:b w:val="0"/>
        </w:rPr>
        <w:t>Suite de Vitest: tests/*.test.ts (898 tests).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Pr>
          <w:b w:val="0"/>
        </w:rPr>
        <w:t>Suite de Playwright: e2e/*.spec.ts (40 tests, 6 specs).</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Pr>
          <w:b w:val="0"/>
        </w:rPr>
        <w:t>Reporte de cobertura: npm run test:coverage.</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Pr>
          <w:b w:val="0"/>
        </w:rPr>
        <w:t>Hallazgos de seguridad y accesibilidad: /admin/lab/security (privado) y /lab (agregado público).</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Pr>
          <w:b w:val="0"/>
        </w:rPr>
        <w:t>Score de mutación: reportado a /admin/lab cuando corre mutation.yml.</w:t>
      </w:r>
    </w:p>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Calibri" w:cs="Calibri" w:eastAsia="Calibri" w:hAnsi="Calibri"/>
          <w:b w:val="1"/>
          <w:i w:val="0"/>
          <w:smallCaps w:val="0"/>
          <w:strike w:val="0"/>
          <w:color w:val="222222"/>
          <w:sz w:val="22"/>
          <w:szCs w:val="22"/>
          <w:u w:val="none"/>
          <w:shd w:fill="auto" w:val="clear"/>
          <w:vertAlign w:val="baseline"/>
        </w:rPr>
      </w:pPr>
      <w:r>
        <w:rPr>
          <w:b w:val="0"/>
        </w:rPr>
        <w:t>Logs y artefactos de cada ejecución: pestaña Actions de GitHub.</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Recursos</w:t>
      </w:r>
    </w:p>
    <w:p w:rsidR="00000000" w:rsidDel="00000000" w:rsidP="00000000" w:rsidRDefault="00000000" w:rsidRPr="00000000" w14:paraId="000001D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Ver detalle en las subsecciones de Hardware, Software y Herramientas.</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bookmarkStart w:colFirst="0" w:colLast="0" w:name="_heading=h.44sinio" w:id="17"/>
      <w:bookmarkEnd w:id="17"/>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Requerimientos de Entornos – Hardware</w:t>
      </w:r>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p>
    <w:p w:rsidR="00000000" w:rsidDel="00000000" w:rsidP="00000000" w:rsidRDefault="00000000" w:rsidRPr="00000000" w14:paraId="000001D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222222"/>
          <w:sz w:val="19"/>
          <w:szCs w:val="19"/>
          <w:u w:val="none"/>
          <w:shd w:fill="auto" w:val="clear"/>
          <w:vertAlign w:val="baseline"/>
        </w:rPr>
      </w:pPr>
      <w:bookmarkStart w:colFirst="0" w:colLast="0" w:name="_heading=h.44sinio" w:id="17"/>
      <w:bookmarkEnd w:id="17"/>
      <w:r>
        <w:rPr>
          <w:b w:val="0"/>
        </w:rPr>
        <w:t>El proyecto no contrata ni administra hardware físico. La ejecución de pruebas usa: runners ubuntu-latest de GitHub Actions (CI, SAST, DAST, a11y, mutación), Vercel Functions con Fluid Compute (producción y previews), y Turso/libSQL (base de datos, con instancia aparte para pruebas de demo). En desarrollo local, compose.yaml levanta dos servidores sqld (Docker) para pruebas contra libSQL real.</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Requerimientos de Entornos – Software </w:t>
      </w:r>
    </w:p>
    <w:p w:rsidR="00000000" w:rsidDel="00000000" w:rsidP="00000000" w:rsidRDefault="00000000" w:rsidRPr="00000000" w14:paraId="000001E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Pr>
          <w:b w:val="0"/>
        </w:rPr>
        <w:t>Node.js &gt;=22.12 (requerido por package.json engines), Vitest (unitarias), Playwright (e2e), Stryker (mutación), npm audit y CodeQL (SAST), OWASP ZAP baseline (DAST), axe-core (a11y), Drizzle ORM y drizzle-kit (migraciones), sqld/libSQL (Docker, solo desarrollo).</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Herramientas de Pruebas Requeridas </w:t>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Pr>
          <w:b w:val="0"/>
        </w:rPr>
        <w:t>Automatización: Vitest + Playwright + Stryker, orquestados por GitHub Actions. Gestión y visualización de resultados: panel propio /admin/lab/* (no se usa una herramienta de gestión de pruebas de terceros), alimentado por POST /api/lab/ingest con autenticación Bearer LAB_INGEST_TOKEN.</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3j2qqm3" w:id="20"/>
      <w:bookmarkEnd w:id="20"/>
      <w:r w:rsidDel="00000000" w:rsidR="00000000" w:rsidRPr="00000000">
        <w:rPr>
          <w:rFonts w:ascii="Arial" w:cs="Arial" w:eastAsia="Arial" w:hAnsi="Arial"/>
          <w:b w:val="1"/>
          <w:i w:val="0"/>
          <w:smallCaps w:val="0"/>
          <w:strike w:val="0"/>
          <w:color w:val="222222"/>
          <w:sz w:val="19"/>
          <w:szCs w:val="19"/>
          <w:u w:val="none"/>
          <w:shd w:fill="auto" w:val="clear"/>
          <w:vertAlign w:val="baseline"/>
          <w:rtl w:val="0"/>
        </w:rPr>
        <w:t xml:space="preserve"> </w:t>
      </w: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Personal</w:t>
      </w:r>
    </w:p>
    <w:p w:rsidR="00000000" w:rsidDel="00000000" w:rsidP="00000000" w:rsidRDefault="00000000" w:rsidRPr="00000000" w14:paraId="00000210">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3j2qqm3" w:id="20"/>
      <w:bookmarkEnd w:id="20"/>
      <w:r>
        <w:rPr>
          <w:b w:val="0"/>
        </w:rPr>
        <w:t>Mike (@mikerb95) ejerce los tres roles del equipo de QA: líder de pruebas (define alcance y prioridades), analista/tester (escribe y ejecuta los casos), y especialista en automatización (mantiene Vitest, Playwright, Stryker y los workflows de CI/CD). No hay separación de personas por rol: es un proyecto de un solo desarrollador.</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Entrenamiento</w:t>
      </w:r>
    </w:p>
    <w:p w:rsidR="00000000" w:rsidDel="00000000" w:rsidP="00000000" w:rsidRDefault="00000000" w:rsidRPr="00000000" w14:paraId="0000022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Pr>
          <w:b w:val="0"/>
        </w:rPr>
        <w:t>No se requiere entrenamiento externo: la infraestructura de pruebas (Vitest, Playwright, Stryker, SAST/DAST, a11y) fue diseñada, implementada y documentada por el mismo desarrollador que la opera, como parte del roadmap de ingeniería documentado en docs/plan-lab.md.</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Planificación y Organización</w:t>
      </w:r>
    </w:p>
    <w:p w:rsidR="00000000" w:rsidDel="00000000" w:rsidP="00000000" w:rsidRDefault="00000000" w:rsidRPr="00000000" w14:paraId="00000238">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A diferencia de un proyecto con fecha de cierre, las pruebas de codebymike.tech corren de forma continua: cada evento del pipeline (push, pull request, cron semanal o disparo manual) activa el subconjunto de pruebas correspondiente.</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2xcytpi" w:id="23"/>
      <w:bookmarkEnd w:id="23"/>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Procedimientos para las Pruebas</w:t>
      </w:r>
    </w:p>
    <w:p w:rsidR="00000000" w:rsidDel="00000000" w:rsidP="00000000" w:rsidRDefault="00000000" w:rsidRPr="00000000" w14:paraId="00000239">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bookmarkStart w:colFirst="0" w:colLast="0" w:name="_heading=h.2xcytpi" w:id="23"/>
      <w:bookmarkEnd w:id="23"/>
      <w:r>
        <w:rPr>
          <w:b w:val="0"/>
        </w:rPr>
        <w:t>Para lógica pura en src/lib/ se prioriza escribir o actualizar el test de Vitest junto con el cambio, usando BD real en archivo temporal (tmpdir(), nunca :memory:) cuando hay concurrencia o restricciones UNIQUE de por medio (ver tests/payments.test.ts como plantilla). Los e2e de Playwright siembran bases libSQL desechables en webServer.command, nunca en globalSetup. Un módulo que se importa desde el navegador no puede depender de node:crypto ni de la capa de BD: la lógica isomorfa se separa en un módulo puro aparte.</w:t>
      </w:r>
    </w:p>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Matriz de Responsabilidades</w:t>
      </w:r>
    </w:p>
    <w:tbl>
      <w:tblPr>
        <w:tblStyle w:val="Table2"/>
        <w:tblW w:type="auto" w:w="0"/>
        <w:tblLook w:firstColumn="1" w:firstRow="1" w:lastColumn="0" w:lastRow="0" w:noHBand="0" w:noVBand="1" w:val="04A0"/>
      </w:tblPr>
      <w:tblGrid>
        <w:gridCol w:w="1768"/>
        <w:gridCol w:w="1768"/>
        <w:gridCol w:w="1768"/>
        <w:gridCol w:w="1768"/>
        <w:gridCol w:w="1768"/>
      </w:tblGrid>
      <w:tr>
        <w:tc>
          <w:tcPr>
            <w:tcW w:type="dxa" w:w="1768"/>
          </w:tcPr>
          <w:p>
            <w:r>
              <w:t>Actividad</w:t>
            </w:r>
          </w:p>
        </w:tc>
        <w:tc>
          <w:tcPr>
            <w:tcW w:type="dxa" w:w="1768"/>
          </w:tcPr>
          <w:p>
            <w:r>
              <w:t>R</w:t>
            </w:r>
          </w:p>
        </w:tc>
        <w:tc>
          <w:tcPr>
            <w:tcW w:type="dxa" w:w="1768"/>
          </w:tcPr>
          <w:p>
            <w:r>
              <w:t>A</w:t>
            </w:r>
          </w:p>
        </w:tc>
        <w:tc>
          <w:tcPr>
            <w:tcW w:type="dxa" w:w="1768"/>
          </w:tcPr>
          <w:p>
            <w:r>
              <w:t>C</w:t>
            </w:r>
          </w:p>
        </w:tc>
        <w:tc>
          <w:tcPr>
            <w:tcW w:type="dxa" w:w="1768"/>
          </w:tcPr>
          <w:p>
            <w:r>
              <w:t>I</w:t>
            </w:r>
          </w:p>
        </w:tc>
      </w:tr>
      <w:tr>
        <w:tc>
          <w:tcPr>
            <w:tcW w:type="dxa" w:w="1768"/>
          </w:tcPr>
          <w:p>
            <w:r>
              <w:t>Diseño de casos de prueba</w:t>
            </w:r>
          </w:p>
        </w:tc>
        <w:tc>
          <w:tcPr>
            <w:tcW w:type="dxa" w:w="1768"/>
          </w:tcPr>
          <w:p>
            <w:r>
              <w:t>Mike</w:t>
            </w:r>
          </w:p>
        </w:tc>
        <w:tc>
          <w:tcPr>
            <w:tcW w:type="dxa" w:w="1768"/>
          </w:tcPr>
          <w:p>
            <w:r>
              <w:t>Mike</w:t>
            </w:r>
          </w:p>
        </w:tc>
        <w:tc>
          <w:tcPr>
            <w:tcW w:type="dxa" w:w="1768"/>
          </w:tcPr>
          <w:p>
            <w:r>
              <w:t>-</w:t>
            </w:r>
          </w:p>
        </w:tc>
        <w:tc>
          <w:tcPr>
            <w:tcW w:type="dxa" w:w="1768"/>
          </w:tcPr>
          <w:p>
            <w:r>
              <w:t>-</w:t>
            </w:r>
          </w:p>
        </w:tc>
      </w:tr>
      <w:tr>
        <w:tc>
          <w:tcPr>
            <w:tcW w:type="dxa" w:w="1768"/>
          </w:tcPr>
          <w:p>
            <w:r>
              <w:t>Ejecución de pruebas unitarias (Vitest)</w:t>
            </w:r>
          </w:p>
        </w:tc>
        <w:tc>
          <w:tcPr>
            <w:tcW w:type="dxa" w:w="1768"/>
          </w:tcPr>
          <w:p>
            <w:r>
              <w:t>Mike</w:t>
            </w:r>
          </w:p>
        </w:tc>
        <w:tc>
          <w:tcPr>
            <w:tcW w:type="dxa" w:w="1768"/>
          </w:tcPr>
          <w:p>
            <w:r>
              <w:t>Mike</w:t>
            </w:r>
          </w:p>
        </w:tc>
        <w:tc>
          <w:tcPr>
            <w:tcW w:type="dxa" w:w="1768"/>
          </w:tcPr>
          <w:p>
            <w:r>
              <w:t>-</w:t>
            </w:r>
          </w:p>
        </w:tc>
        <w:tc>
          <w:tcPr>
            <w:tcW w:type="dxa" w:w="1768"/>
          </w:tcPr>
          <w:p>
            <w:r>
              <w:t>-</w:t>
            </w:r>
          </w:p>
        </w:tc>
      </w:tr>
      <w:tr>
        <w:tc>
          <w:tcPr>
            <w:tcW w:type="dxa" w:w="1768"/>
          </w:tcPr>
          <w:p>
            <w:r>
              <w:t>Ejecución de pruebas e2e (Playwright)</w:t>
            </w:r>
          </w:p>
        </w:tc>
        <w:tc>
          <w:tcPr>
            <w:tcW w:type="dxa" w:w="1768"/>
          </w:tcPr>
          <w:p>
            <w:r>
              <w:t>Mike</w:t>
            </w:r>
          </w:p>
        </w:tc>
        <w:tc>
          <w:tcPr>
            <w:tcW w:type="dxa" w:w="1768"/>
          </w:tcPr>
          <w:p>
            <w:r>
              <w:t>Mike</w:t>
            </w:r>
          </w:p>
        </w:tc>
        <w:tc>
          <w:tcPr>
            <w:tcW w:type="dxa" w:w="1768"/>
          </w:tcPr>
          <w:p>
            <w:r>
              <w:t>-</w:t>
            </w:r>
          </w:p>
        </w:tc>
        <w:tc>
          <w:tcPr>
            <w:tcW w:type="dxa" w:w="1768"/>
          </w:tcPr>
          <w:p>
            <w:r>
              <w:t>-</w:t>
            </w:r>
          </w:p>
        </w:tc>
      </w:tr>
      <w:tr>
        <w:tc>
          <w:tcPr>
            <w:tcW w:type="dxa" w:w="1768"/>
          </w:tcPr>
          <w:p>
            <w:r>
              <w:t>Revisión de hallazgos SAST/DAST</w:t>
            </w:r>
          </w:p>
        </w:tc>
        <w:tc>
          <w:tcPr>
            <w:tcW w:type="dxa" w:w="1768"/>
          </w:tcPr>
          <w:p>
            <w:r>
              <w:t>Mike</w:t>
            </w:r>
          </w:p>
        </w:tc>
        <w:tc>
          <w:tcPr>
            <w:tcW w:type="dxa" w:w="1768"/>
          </w:tcPr>
          <w:p>
            <w:r>
              <w:t>Mike</w:t>
            </w:r>
          </w:p>
        </w:tc>
        <w:tc>
          <w:tcPr>
            <w:tcW w:type="dxa" w:w="1768"/>
          </w:tcPr>
          <w:p>
            <w:r>
              <w:t>-</w:t>
            </w:r>
          </w:p>
        </w:tc>
        <w:tc>
          <w:tcPr>
            <w:tcW w:type="dxa" w:w="1768"/>
          </w:tcPr>
          <w:p>
            <w:r>
              <w:t>-</w:t>
            </w:r>
          </w:p>
        </w:tc>
      </w:tr>
      <w:tr>
        <w:tc>
          <w:tcPr>
            <w:tcW w:type="dxa" w:w="1768"/>
          </w:tcPr>
          <w:p>
            <w:r>
              <w:t>Revisión de accesibilidad (a11y)</w:t>
            </w:r>
          </w:p>
        </w:tc>
        <w:tc>
          <w:tcPr>
            <w:tcW w:type="dxa" w:w="1768"/>
          </w:tcPr>
          <w:p>
            <w:r>
              <w:t>Mike</w:t>
            </w:r>
          </w:p>
        </w:tc>
        <w:tc>
          <w:tcPr>
            <w:tcW w:type="dxa" w:w="1768"/>
          </w:tcPr>
          <w:p>
            <w:r>
              <w:t>Mike</w:t>
            </w:r>
          </w:p>
        </w:tc>
        <w:tc>
          <w:tcPr>
            <w:tcW w:type="dxa" w:w="1768"/>
          </w:tcPr>
          <w:p>
            <w:r>
              <w:t>-</w:t>
            </w:r>
          </w:p>
        </w:tc>
        <w:tc>
          <w:tcPr>
            <w:tcW w:type="dxa" w:w="1768"/>
          </w:tcPr>
          <w:p>
            <w:r>
              <w:t>-</w:t>
            </w:r>
          </w:p>
        </w:tc>
      </w:tr>
      <w:tr>
        <w:tc>
          <w:tcPr>
            <w:tcW w:type="dxa" w:w="1768"/>
          </w:tcPr>
          <w:p>
            <w:r>
              <w:t>Aprobación de merge a main</w:t>
            </w:r>
          </w:p>
        </w:tc>
        <w:tc>
          <w:tcPr>
            <w:tcW w:type="dxa" w:w="1768"/>
          </w:tcPr>
          <w:p>
            <w:r>
              <w:t>Mike</w:t>
            </w:r>
          </w:p>
        </w:tc>
        <w:tc>
          <w:tcPr>
            <w:tcW w:type="dxa" w:w="1768"/>
          </w:tcPr>
          <w:p>
            <w:r>
              <w:t>Mike</w:t>
            </w:r>
          </w:p>
        </w:tc>
        <w:tc>
          <w:tcPr>
            <w:tcW w:type="dxa" w:w="1768"/>
          </w:tcPr>
          <w:p>
            <w:r>
              <w:t>-</w:t>
            </w:r>
          </w:p>
        </w:tc>
        <w:tc>
          <w:tcPr>
            <w:tcW w:type="dxa" w:w="1768"/>
          </w:tcPr>
          <w:p>
            <w:r>
              <w:t>-</w:t>
            </w:r>
          </w:p>
        </w:tc>
      </w:tr>
      <w:tr>
        <w:tc>
          <w:tcPr>
            <w:tcW w:type="dxa" w:w="1768"/>
          </w:tcPr>
          <w:p>
            <w:r>
              <w:t>Rollback ante fallo de healthcheck</w:t>
            </w:r>
          </w:p>
        </w:tc>
        <w:tc>
          <w:tcPr>
            <w:tcW w:type="dxa" w:w="1768"/>
          </w:tcPr>
          <w:p>
            <w:r>
              <w:t>Mike</w:t>
            </w:r>
          </w:p>
        </w:tc>
        <w:tc>
          <w:tcPr>
            <w:tcW w:type="dxa" w:w="1768"/>
          </w:tcPr>
          <w:p>
            <w:r>
              <w:t>Mike</w:t>
            </w:r>
          </w:p>
        </w:tc>
        <w:tc>
          <w:tcPr>
            <w:tcW w:type="dxa" w:w="1768"/>
          </w:tcPr>
          <w:p>
            <w:r>
              <w:t>-</w:t>
            </w:r>
          </w:p>
        </w:tc>
        <w:tc>
          <w:tcPr>
            <w:tcW w:type="dxa" w:w="1768"/>
          </w:tcPr>
          <w:p>
            <w:r>
              <w:t>GitHub Actions (automático)</w:t>
            </w:r>
          </w:p>
        </w:tc>
      </w:tr>
    </w:tbl>
    <w:p w:rsidR="00000000" w:rsidDel="00000000" w:rsidP="00000000" w:rsidRDefault="00000000" w:rsidRPr="00000000" w14:paraId="0000024B">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Pr>
          <w:b w:val="0"/>
        </w:rPr>
        <w:t>Al ser un equipo de una sola persona, Mike concentra los roles R y A en toda actividad; se documenta igual para dejar explícita la responsabilidad de cada tarea:</w:t>
      </w:r>
    </w:p>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Cronograma</w:t>
      </w:r>
    </w:p>
    <w:tbl>
      <w:tblPr>
        <w:tblStyle w:val="Table2"/>
        <w:tblW w:type="auto" w:w="0"/>
        <w:tblLook w:firstColumn="1" w:firstRow="1" w:lastColumn="0" w:lastRow="0" w:noHBand="0" w:noVBand="1" w:val="04A0"/>
      </w:tblPr>
      <w:tblGrid>
        <w:gridCol w:w="2946"/>
        <w:gridCol w:w="2946"/>
        <w:gridCol w:w="2946"/>
      </w:tblGrid>
      <w:tr>
        <w:tc>
          <w:tcPr>
            <w:tcW w:type="dxa" w:w="2946"/>
          </w:tcPr>
          <w:p>
            <w:r>
              <w:t>Actividad</w:t>
            </w:r>
          </w:p>
        </w:tc>
        <w:tc>
          <w:tcPr>
            <w:tcW w:type="dxa" w:w="2946"/>
          </w:tcPr>
          <w:p>
            <w:r>
              <w:t>Disparador</w:t>
            </w:r>
          </w:p>
        </w:tc>
        <w:tc>
          <w:tcPr>
            <w:tcW w:type="dxa" w:w="2946"/>
          </w:tcPr>
          <w:p>
            <w:r>
              <w:t>Frecuencia</w:t>
            </w:r>
          </w:p>
        </w:tc>
      </w:tr>
      <w:tr>
        <w:tc>
          <w:tcPr>
            <w:tcW w:type="dxa" w:w="2946"/>
          </w:tcPr>
          <w:p>
            <w:r>
              <w:t>Unitarias (Vitest) + build</w:t>
            </w:r>
          </w:p>
        </w:tc>
        <w:tc>
          <w:tcPr>
            <w:tcW w:type="dxa" w:w="2946"/>
          </w:tcPr>
          <w:p>
            <w:r>
              <w:t>push / pull request</w:t>
            </w:r>
          </w:p>
        </w:tc>
        <w:tc>
          <w:tcPr>
            <w:tcW w:type="dxa" w:w="2946"/>
          </w:tcPr>
          <w:p>
            <w:r>
              <w:t>cada cambio (ci.yml)</w:t>
            </w:r>
          </w:p>
        </w:tc>
      </w:tr>
      <w:tr>
        <w:tc>
          <w:tcPr>
            <w:tcW w:type="dxa" w:w="2946"/>
          </w:tcPr>
          <w:p>
            <w:r>
              <w:t>E2E (Playwright)</w:t>
            </w:r>
          </w:p>
        </w:tc>
        <w:tc>
          <w:tcPr>
            <w:tcW w:type="dxa" w:w="2946"/>
          </w:tcPr>
          <w:p>
            <w:r>
              <w:t>push / pull request</w:t>
            </w:r>
          </w:p>
        </w:tc>
        <w:tc>
          <w:tcPr>
            <w:tcW w:type="dxa" w:w="2946"/>
          </w:tcPr>
          <w:p>
            <w:r>
              <w:t>cada cambio (ci.yml, vía test:e2e:server)</w:t>
            </w:r>
          </w:p>
        </w:tc>
      </w:tr>
      <w:tr>
        <w:tc>
          <w:tcPr>
            <w:tcW w:type="dxa" w:w="2946"/>
          </w:tcPr>
          <w:p>
            <w:r>
              <w:t>SAST (npm audit + CodeQL)</w:t>
            </w:r>
          </w:p>
        </w:tc>
        <w:tc>
          <w:tcPr>
            <w:tcW w:type="dxa" w:w="2946"/>
          </w:tcPr>
          <w:p>
            <w:r>
              <w:t>push / pull request + cron</w:t>
            </w:r>
          </w:p>
        </w:tc>
        <w:tc>
          <w:tcPr>
            <w:tcW w:type="dxa" w:w="2946"/>
          </w:tcPr>
          <w:p>
            <w:r>
              <w:t>cada cambio y domingos 06:00 UTC (security.yml)</w:t>
            </w:r>
          </w:p>
        </w:tc>
      </w:tr>
      <w:tr>
        <w:tc>
          <w:tcPr>
            <w:tcW w:type="dxa" w:w="2946"/>
          </w:tcPr>
          <w:p>
            <w:r>
              <w:t>DAST (OWASP ZAP)</w:t>
            </w:r>
          </w:p>
        </w:tc>
        <w:tc>
          <w:tcPr>
            <w:tcW w:type="dxa" w:w="2946"/>
          </w:tcPr>
          <w:p>
            <w:r>
              <w:t>pull request</w:t>
            </w:r>
          </w:p>
        </w:tc>
        <w:tc>
          <w:tcPr>
            <w:tcW w:type="dxa" w:w="2946"/>
          </w:tcPr>
          <w:p>
            <w:r>
              <w:t>cada PR, contra preview deployment (dast.yml)</w:t>
            </w:r>
          </w:p>
        </w:tc>
      </w:tr>
      <w:tr>
        <w:tc>
          <w:tcPr>
            <w:tcW w:type="dxa" w:w="2946"/>
          </w:tcPr>
          <w:p>
            <w:r>
              <w:t>Accesibilidad (axe-core)</w:t>
            </w:r>
          </w:p>
        </w:tc>
        <w:tc>
          <w:tcPr>
            <w:tcW w:type="dxa" w:w="2946"/>
          </w:tcPr>
          <w:p>
            <w:r>
              <w:t>push / pull request</w:t>
            </w:r>
          </w:p>
        </w:tc>
        <w:tc>
          <w:tcPr>
            <w:tcW w:type="dxa" w:w="2946"/>
          </w:tcPr>
          <w:p>
            <w:r>
              <w:t>cada cambio (a11y.yml)</w:t>
            </w:r>
          </w:p>
        </w:tc>
      </w:tr>
      <w:tr>
        <w:tc>
          <w:tcPr>
            <w:tcW w:type="dxa" w:w="2946"/>
          </w:tcPr>
          <w:p>
            <w:r>
              <w:t>Mutación (Stryker)</w:t>
            </w:r>
          </w:p>
        </w:tc>
        <w:tc>
          <w:tcPr>
            <w:tcW w:type="dxa" w:w="2946"/>
          </w:tcPr>
          <w:p>
            <w:r>
              <w:t>manual (workflow_dispatch) + cron</w:t>
            </w:r>
          </w:p>
        </w:tc>
        <w:tc>
          <w:tcPr>
            <w:tcW w:type="dxa" w:w="2946"/>
          </w:tcPr>
          <w:p>
            <w:r>
              <w:t>domingos 08:00 UTC (mutation.yml)</w:t>
            </w:r>
          </w:p>
        </w:tc>
      </w:tr>
      <w:tr>
        <w:tc>
          <w:tcPr>
            <w:tcW w:type="dxa" w:w="2946"/>
          </w:tcPr>
          <w:p>
            <w:r>
              <w:t>Verificación de deploy + rollback</w:t>
            </w:r>
          </w:p>
        </w:tc>
        <w:tc>
          <w:tcPr>
            <w:tcW w:type="dxa" w:w="2946"/>
          </w:tcPr>
          <w:p>
            <w:r>
              <w:t>push a main</w:t>
            </w:r>
          </w:p>
        </w:tc>
        <w:tc>
          <w:tcPr>
            <w:tcW w:type="dxa" w:w="2946"/>
          </w:tcPr>
          <w:p>
            <w:r>
              <w:t>cada deploy a producción (ci.yml)</w:t>
            </w:r>
          </w:p>
        </w:tc>
      </w:tr>
    </w:tbl>
    <w:p w:rsidR="00000000" w:rsidDel="00000000" w:rsidP="00000000" w:rsidRDefault="00000000" w:rsidRPr="00000000" w14:paraId="000002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Pr>
          <w:b w:val="0"/>
        </w:rPr>
        <w:t>Cadencia de cada capa de pruebas, según su disparador en GitHub Actions: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Premisas</w:t>
      </w:r>
    </w:p>
    <w:p w:rsidR="00000000" w:rsidDel="00000000" w:rsidP="00000000" w:rsidRDefault="00000000" w:rsidRPr="00000000" w14:paraId="0000027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Pr>
          <w:b w:val="0"/>
        </w:rPr>
        <w:t>Se asume disponibilidad del runner ubuntu-latest de GitHub Actions y del auto-deploy de Vercel como ambiente de referencia para e2e/DAST vía preview deployments. Los secrets opcionales (VERCEL_TOKEN, LAB_INGEST_TOKEN, NTFY_TOPIC) se asumen configurados en producción; su ausencia degrada con gracia (patrón fail-open del repo) pero no bloquea el pipeline. Un solo desarrollador ejecuta todos los roles de QA, sin redundancia de personal.</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sidDel="00000000" w:rsidR="00000000" w:rsidRPr="00000000">
        <w:rPr>
          <w:rFonts w:ascii="Arial" w:cs="Arial" w:eastAsia="Arial" w:hAnsi="Arial"/>
          <w:b w:val="1"/>
          <w:i w:val="0"/>
          <w:smallCaps w:val="0"/>
          <w:strike w:val="0"/>
          <w:color w:val="365f91"/>
          <w:sz w:val="24"/>
          <w:szCs w:val="24"/>
          <w:u w:val="none"/>
          <w:shd w:fill="auto" w:val="clear"/>
          <w:vertAlign w:val="baseline"/>
          <w:rtl w:val="0"/>
        </w:rPr>
        <w:t xml:space="preserve">Dependencias y Riesgos</w:t>
      </w:r>
    </w:p>
    <w:p w:rsidR="00000000" w:rsidDel="00000000" w:rsidP="00000000" w:rsidRDefault="00000000" w:rsidRPr="00000000" w14:paraId="00000281">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24"/>
          <w:szCs w:val="24"/>
          <w:u w:val="none"/>
          <w:shd w:fill="auto" w:val="clear"/>
          <w:vertAlign w:val="baseline"/>
        </w:rPr>
      </w:pPr>
      <w:r>
        <w:rPr>
          <w:b w:val="0"/>
        </w:rPr>
        <w:t>Riesgos identificados: (1) sin VERCEL_TOKEN, un deploy roto no se revierte automáticamente y requiere intervención manual; (2) una prueba de carga o e2e mal dirigida contra la base de datos de producción puede agotar la cuota de filas leídas de Turso en el plan gratuito, mitigado con el guardarraíl de dos mitades de lab/k6/lib/perfil.js (verifica URL y que /api/health confirme una base local); (3) dependencia de que exista un preview deployment válido para que corran DAST y, en el futuro, load testing.</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Referencias </w:t>
      </w:r>
    </w:p>
    <w:p w:rsidR="00000000" w:rsidDel="00000000" w:rsidP="00000000" w:rsidRDefault="00000000" w:rsidRPr="00000000" w14:paraId="00000294">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docs/plan-lab.md (plan del módulo LAB, fases 0-6), docs/plan-lab-fases-pendientes.md (fases 5-7 pendientes), docs/plan-docker.md (infraestructura de desarrollo/pruebas), CLAUDE.md (convenciones de testing del repo), workflows de GitHub Actions (ci.yml, security.yml, dast.yml, a11y.yml, mutation.yml).</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sidDel="00000000" w:rsidR="00000000" w:rsidRPr="00000000">
        <w:rPr>
          <w:rFonts w:ascii="Arial" w:cs="Arial" w:eastAsia="Arial" w:hAnsi="Arial"/>
          <w:b w:val="1"/>
          <w:i w:val="0"/>
          <w:smallCaps w:val="0"/>
          <w:strike w:val="0"/>
          <w:color w:val="365f91"/>
          <w:sz w:val="32"/>
          <w:szCs w:val="32"/>
          <w:u w:val="none"/>
          <w:shd w:fill="auto" w:val="clear"/>
          <w:vertAlign w:val="baseline"/>
          <w:rtl w:val="0"/>
        </w:rPr>
        <w:t xml:space="preserve">Glosario</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SAST: análisis estático de seguridad (código y dependencias), sin ejecutar la aplicación.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DAST: análisis dinámico de seguridad contra la aplicación desplegada y en ejecución.</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E2E (end-to-end): prueba que simula un flujo completo de usuario real sobre la aplicación desplegada.</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Mutation testing: técnica que introduce mutaciones deliberadas en el código para medir si la suite de tests las detecta.</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CI/CD: integración y despliegue continuos; en este repo, GitHub Actions + auto-deploy de Vercel.</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Fail-open: patrón de diseño donde un fallo en un componente de seguridad u observabilidad no bloquea el flujo principal del sistema.</w:t>
      </w:r>
    </w:p>
    <w:p w:rsidR="00000000" w:rsidDel="00000000" w:rsidP="00000000" w:rsidRDefault="00000000" w:rsidRPr="00000000" w14:paraId="000002A3">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240" w:lineRule="auto"/>
        <w:ind w:left="0" w:right="0" w:firstLine="0"/>
        <w:jc w:val="left"/>
        <w:rPr>
          <w:rFonts w:ascii="Arial" w:cs="Arial" w:eastAsia="Arial" w:hAnsi="Arial"/>
          <w:b w:val="1"/>
          <w:i w:val="0"/>
          <w:smallCaps w:val="0"/>
          <w:strike w:val="0"/>
          <w:color w:val="365f91"/>
          <w:sz w:val="32"/>
          <w:szCs w:val="32"/>
          <w:u w:val="none"/>
          <w:shd w:fill="auto" w:val="clear"/>
          <w:vertAlign w:val="baseline"/>
        </w:rPr>
      </w:pPr>
      <w:r>
        <w:rPr>
          <w:b w:val="0"/>
        </w:rPr>
        <w:t>RACI: modelo de asignación de responsabilidades (Responsable, Aprobador, Consultado, Informado).</w:t>
      </w:r>
    </w:p>
    <w:sectPr>
      <w:headerReference r:id="rId7" w:type="default"/>
      <w:footerReference r:id="rId8" w:type="default"/>
      <w:pgSz w:h="15840" w:w="12240" w:orient="portrait"/>
      <w:pgMar w:bottom="1418" w:top="1985"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 w:name="Caveat SemiBold">
    <w:embedRegular w:fontKey="{00000000-0000-0000-0000-000000000000}" r:id="rId7" w:subsetted="0"/>
    <w:embedBold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Página </w:t>
    </w:r>
    <w:r w:rsidDel="00000000" w:rsidR="00000000" w:rsidRPr="00000000">
      <w:rPr>
        <w:rFonts w:ascii="Calibri" w:cs="Calibri" w:eastAsia="Calibri" w:hAnsi="Calibri"/>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76" w:lineRule="auto"/>
      <w:ind w:left="0" w:right="0" w:firstLine="0"/>
      <w:jc w:val="right"/>
      <w:rPr>
        <w:rFonts w:ascii="Calibri" w:cs="Calibri" w:eastAsia="Calibri" w:hAnsi="Calibri"/>
        <w:b w:val="0"/>
        <w:i w:val="0"/>
        <w:smallCaps w:val="0"/>
        <w:strike w:val="0"/>
        <w:color w:val="365f91"/>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rFonts w:ascii="Roboto" w:cs="Roboto" w:eastAsia="Roboto" w:hAnsi="Roboto"/>
        <w:color w:val="374151"/>
        <w:sz w:val="24"/>
        <w:szCs w:val="24"/>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vertAlign w:val="baseline"/>
      </w:rPr>
    </w:lvl>
    <w:lvl w:ilvl="1">
      <w:start w:val="1"/>
      <w:numFmt w:val="bullet"/>
      <w:lvlText w:val="o"/>
      <w:lvlJc w:val="left"/>
      <w:pPr>
        <w:ind w:left="1440" w:hanging="360"/>
      </w:pPr>
      <w:rPr>
        <w:rFonts w:ascii="Courier New" w:cs="Courier New" w:eastAsia="Courier New" w:hAnsi="Courier New"/>
        <w:vertAlign w:val="baseline"/>
      </w:rPr>
    </w:lvl>
    <w:lvl w:ilvl="2">
      <w:start w:val="1"/>
      <w:numFmt w:val="bullet"/>
      <w:lvlText w:val="▪"/>
      <w:lvlJc w:val="left"/>
      <w:pPr>
        <w:ind w:left="2160" w:hanging="360"/>
      </w:pPr>
      <w:rPr>
        <w:rFonts w:ascii="Noto Sans Symbols" w:cs="Noto Sans Symbols" w:eastAsia="Noto Sans Symbols" w:hAnsi="Noto Sans Symbols"/>
        <w:vertAlign w:val="baseline"/>
      </w:rPr>
    </w:lvl>
    <w:lvl w:ilvl="3">
      <w:start w:val="1"/>
      <w:numFmt w:val="bullet"/>
      <w:lvlText w:val="●"/>
      <w:lvlJc w:val="left"/>
      <w:pPr>
        <w:ind w:left="2880" w:hanging="360"/>
      </w:pPr>
      <w:rPr>
        <w:rFonts w:ascii="Noto Sans Symbols" w:cs="Noto Sans Symbols" w:eastAsia="Noto Sans Symbols" w:hAnsi="Noto Sans Symbols"/>
        <w:vertAlign w:val="baseline"/>
      </w:rPr>
    </w:lvl>
    <w:lvl w:ilvl="4">
      <w:start w:val="1"/>
      <w:numFmt w:val="bullet"/>
      <w:lvlText w:val="o"/>
      <w:lvlJc w:val="left"/>
      <w:pPr>
        <w:ind w:left="3600" w:hanging="360"/>
      </w:pPr>
      <w:rPr>
        <w:rFonts w:ascii="Courier New" w:cs="Courier New" w:eastAsia="Courier New" w:hAnsi="Courier New"/>
        <w:vertAlign w:val="baseline"/>
      </w:rPr>
    </w:lvl>
    <w:lvl w:ilvl="5">
      <w:start w:val="1"/>
      <w:numFmt w:val="bullet"/>
      <w:lvlText w:val="▪"/>
      <w:lvlJc w:val="left"/>
      <w:pPr>
        <w:ind w:left="4320" w:hanging="360"/>
      </w:pPr>
      <w:rPr>
        <w:rFonts w:ascii="Noto Sans Symbols" w:cs="Noto Sans Symbols" w:eastAsia="Noto Sans Symbols" w:hAnsi="Noto Sans Symbols"/>
        <w:vertAlign w:val="baseline"/>
      </w:rPr>
    </w:lvl>
    <w:lvl w:ilvl="6">
      <w:start w:val="1"/>
      <w:numFmt w:val="bullet"/>
      <w:lvlText w:val="●"/>
      <w:lvlJc w:val="left"/>
      <w:pPr>
        <w:ind w:left="5040" w:hanging="360"/>
      </w:pPr>
      <w:rPr>
        <w:rFonts w:ascii="Noto Sans Symbols" w:cs="Noto Sans Symbols" w:eastAsia="Noto Sans Symbols" w:hAnsi="Noto Sans Symbols"/>
        <w:vertAlign w:val="baseline"/>
      </w:rPr>
    </w:lvl>
    <w:lvl w:ilvl="7">
      <w:start w:val="1"/>
      <w:numFmt w:val="bullet"/>
      <w:lvlText w:val="o"/>
      <w:lvlJc w:val="left"/>
      <w:pPr>
        <w:ind w:left="5760" w:hanging="360"/>
      </w:pPr>
      <w:rPr>
        <w:rFonts w:ascii="Courier New" w:cs="Courier New" w:eastAsia="Courier New" w:hAnsi="Courier New"/>
        <w:vertAlign w:val="baseline"/>
      </w:rPr>
    </w:lvl>
    <w:lvl w:ilvl="8">
      <w:start w:val="1"/>
      <w:numFmt w:val="bullet"/>
      <w:lvlText w:val="▪"/>
      <w:lvlJc w:val="left"/>
      <w:pPr>
        <w:ind w:left="6480" w:hanging="360"/>
      </w:pPr>
      <w:rPr>
        <w:rFonts w:ascii="Noto Sans Symbols" w:cs="Noto Sans Symbols" w:eastAsia="Noto Sans Symbols" w:hAnsi="Noto Sans Symbols"/>
        <w:vertAlign w:val="baseline"/>
      </w:rPr>
    </w:lvl>
  </w:abstractNum>
  <w:abstractNum w:abstractNumId="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rFonts w:ascii="Roboto" w:cs="Roboto" w:eastAsia="Roboto" w:hAnsi="Roboto"/>
        <w:color w:val="374151"/>
        <w:sz w:val="24"/>
        <w:szCs w:val="24"/>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Roboto" w:cs="Roboto" w:eastAsia="Roboto" w:hAnsi="Roboto"/>
        <w:color w:val="374151"/>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4"/>
        <w:szCs w:val="24"/>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 Id="rId7" Type="http://schemas.openxmlformats.org/officeDocument/2006/relationships/font" Target="fonts/CaveatSemiBold-regular.ttf"/><Relationship Id="rId8" Type="http://schemas.openxmlformats.org/officeDocument/2006/relationships/font" Target="fonts/CaveatSemiBold-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g/Ib7aZ/2/zXcTBdG/H7LDCiPBg==">CgMxLjAyCGguZ2pkZ3hzMgloLjMwajB6bGwyCWguMWZvYjl0ZTIJaC4zem55c2g3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loLjJldDkycDAyCWguMmV0OTJwMDIJaC4yZXQ5MnAwMg5oLmo5aW96dWZ5OXJ4cT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OAByITFFMGhQQkpCSm44X1VmU29sdTFPX0xjU1FmSkFMTXJVd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