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pPr>
      <w:r>
        <w:rPr/>
      </w:r>
    </w:p>
    <w:p>
      <w:pPr>
        <w:pStyle w:val="Normal"/>
        <w:spacing w:lineRule="auto" w:line="480" w:before="0" w:after="0"/>
        <w:jc w:val="center"/>
        <w:rPr/>
      </w:pPr>
      <w:r>
        <w:rPr/>
      </w:r>
    </w:p>
    <w:p>
      <w:pPr>
        <w:pStyle w:val="Normal"/>
        <w:spacing w:lineRule="auto" w:line="480" w:before="0" w:after="0"/>
        <w:jc w:val="center"/>
        <w:rPr/>
      </w:pPr>
      <w:r>
        <w:rPr/>
      </w:r>
    </w:p>
    <w:p>
      <w:pPr>
        <w:pStyle w:val="Normal"/>
        <w:spacing w:lineRule="auto" w:line="480" w:before="0" w:after="0"/>
        <w:jc w:val="center"/>
        <w:rPr/>
      </w:pPr>
      <w:r>
        <w:rPr>
          <w:rFonts w:ascii="Times New Roman" w:hAnsi="Times New Roman"/>
          <w:b/>
          <w:i w:val="false"/>
          <w:sz w:val="24"/>
        </w:rPr>
        <w:t>Presupuesto de Elaboración y Marco de Negociación Tecnológica</w:t>
        <w:br/>
        <w:t>del Proyecto DobleYo Café</w:t>
      </w:r>
    </w:p>
    <w:p>
      <w:pPr>
        <w:pStyle w:val="Normal"/>
        <w:spacing w:lineRule="auto" w:line="480" w:before="0" w:after="0"/>
        <w:jc w:val="center"/>
        <w:rPr/>
      </w:pPr>
      <w:r>
        <w:rPr/>
      </w:r>
    </w:p>
    <w:p>
      <w:pPr>
        <w:pStyle w:val="Normal"/>
        <w:spacing w:lineRule="auto" w:line="480" w:before="0" w:after="0"/>
        <w:jc w:val="center"/>
        <w:rPr/>
      </w:pPr>
      <w:r>
        <w:rPr/>
      </w:r>
    </w:p>
    <w:p>
      <w:pPr>
        <w:pStyle w:val="Normal"/>
        <w:spacing w:lineRule="auto" w:line="480" w:before="0" w:after="0"/>
        <w:jc w:val="center"/>
        <w:rPr/>
      </w:pPr>
      <w:r>
        <w:rPr>
          <w:rFonts w:ascii="Times New Roman" w:hAnsi="Times New Roman"/>
          <w:b w:val="false"/>
          <w:i w:val="false"/>
          <w:sz w:val="24"/>
        </w:rPr>
        <w:t>Michael</w:t>
      </w:r>
      <w:r>
        <w:rPr>
          <w:rFonts w:ascii="Times New Roman" w:hAnsi="Times New Roman"/>
          <w:b w:val="false"/>
          <w:i w:val="false"/>
          <w:sz w:val="24"/>
        </w:rPr>
        <w:t xml:space="preserve"> Rodríguez</w:t>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rFonts w:ascii="Times New Roman" w:hAnsi="Times New Roman"/>
          <w:b w:val="false"/>
          <w:i w:val="false"/>
          <w:i w:val="false"/>
          <w:sz w:val="24"/>
        </w:rPr>
      </w:pPr>
      <w:r>
        <w:rPr/>
      </w:r>
    </w:p>
    <w:p>
      <w:pPr>
        <w:pStyle w:val="Normal"/>
        <w:spacing w:lineRule="auto" w:line="480" w:before="0" w:after="0"/>
        <w:jc w:val="center"/>
        <w:rPr/>
      </w:pPr>
      <w:r>
        <w:rPr>
          <w:rFonts w:ascii="Times New Roman" w:hAnsi="Times New Roman"/>
          <w:b w:val="false"/>
          <w:i w:val="false"/>
          <w:sz w:val="24"/>
        </w:rPr>
        <w:t>Servicio Nacional de Aprendizaje (SENA)</w:t>
      </w:r>
    </w:p>
    <w:p>
      <w:pPr>
        <w:pStyle w:val="Normal"/>
        <w:spacing w:lineRule="auto" w:line="480" w:before="0" w:after="0"/>
        <w:jc w:val="center"/>
        <w:rPr/>
      </w:pPr>
      <w:r>
        <w:rPr>
          <w:rFonts w:ascii="Times New Roman" w:hAnsi="Times New Roman"/>
          <w:b w:val="false"/>
          <w:i w:val="false"/>
          <w:sz w:val="24"/>
        </w:rPr>
        <w:t xml:space="preserve">Ficha </w:t>
      </w:r>
      <w:r>
        <w:rPr>
          <w:rFonts w:ascii="Times New Roman" w:hAnsi="Times New Roman"/>
          <w:b w:val="false"/>
          <w:i w:val="false"/>
          <w:sz w:val="24"/>
        </w:rPr>
        <w:t>3114731</w:t>
      </w:r>
    </w:p>
    <w:p>
      <w:pPr>
        <w:pStyle w:val="Normal"/>
        <w:spacing w:lineRule="auto" w:line="480" w:before="0" w:after="0"/>
        <w:jc w:val="center"/>
        <w:rPr/>
      </w:pPr>
      <w:r>
        <w:rPr>
          <w:rFonts w:ascii="Times New Roman" w:hAnsi="Times New Roman"/>
          <w:b w:val="false"/>
          <w:i w:val="false"/>
          <w:sz w:val="24"/>
        </w:rPr>
        <w:t>Tecnología en Análisis y Desarrollo de Software</w:t>
      </w:r>
    </w:p>
    <w:p>
      <w:pPr>
        <w:pStyle w:val="Normal"/>
        <w:spacing w:lineRule="auto" w:line="480" w:before="0" w:after="0"/>
        <w:jc w:val="center"/>
        <w:rPr/>
      </w:pPr>
      <w:r>
        <w:rPr>
          <w:rFonts w:ascii="Times New Roman" w:hAnsi="Times New Roman"/>
          <w:b w:val="false"/>
          <w:i w:val="false"/>
          <w:sz w:val="24"/>
        </w:rPr>
        <w:t>Negociación Tecnológica</w:t>
      </w:r>
    </w:p>
    <w:p>
      <w:pPr>
        <w:pStyle w:val="Normal"/>
        <w:spacing w:lineRule="auto" w:line="480" w:before="0" w:after="0"/>
        <w:jc w:val="center"/>
        <w:rPr/>
      </w:pPr>
      <w:r>
        <w:rPr>
          <w:rFonts w:ascii="Times New Roman" w:hAnsi="Times New Roman"/>
          <w:b w:val="false"/>
          <w:i w:val="false"/>
          <w:sz w:val="24"/>
        </w:rPr>
        <w:t>22 de junio de 2026</w:t>
      </w:r>
    </w:p>
    <w:p>
      <w:pPr>
        <w:pStyle w:val="Normal"/>
        <w:rPr/>
      </w:pPr>
      <w:r>
        <w:rPr/>
      </w:r>
      <w:r>
        <w:br w:type="page"/>
      </w:r>
    </w:p>
    <w:p>
      <w:pPr>
        <w:pStyle w:val="Normal"/>
        <w:spacing w:lineRule="auto" w:line="480" w:before="0" w:after="0"/>
        <w:jc w:val="center"/>
        <w:rPr/>
      </w:pPr>
      <w:r>
        <w:rPr>
          <w:rFonts w:ascii="Times New Roman" w:hAnsi="Times New Roman"/>
          <w:b/>
          <w:i w:val="false"/>
          <w:sz w:val="24"/>
        </w:rPr>
        <w:t>Resumen</w:t>
      </w:r>
    </w:p>
    <w:p>
      <w:pPr>
        <w:pStyle w:val="Normal"/>
        <w:spacing w:lineRule="auto" w:line="480" w:before="0" w:after="0"/>
        <w:ind w:firstLine="720"/>
        <w:jc w:val="both"/>
        <w:rPr/>
      </w:pPr>
      <w:r>
        <w:rPr>
          <w:rFonts w:ascii="Times New Roman" w:hAnsi="Times New Roman"/>
          <w:b w:val="false"/>
          <w:i w:val="false"/>
          <w:sz w:val="24"/>
        </w:rPr>
        <w:t>El presente documento contiene el presupuesto de elaboración y el marco de negociación tecnológica del proyecto DobleYo Café, una plataforma de comercio electrónico de café de especialidad colombiano. El proyecto comprende doce sprints de dos semanas cada uno, distribuidos en veinticuatro semanas de desarrollo, con un costo total estimado de $51.862.700 COP. El talento humano, ejecutado por un desarrollador full-stack senior con tarifa de $80.000 por hora, representa el 83,3 % del presupuesto. Los costos tecnológicos ascienden a $1.898.000 COP, correspondientes a seis meses de servicios cloud (Vercel Pro, Turso Scaler, Claude Pro, GitHub Pro y dominio .cafe). La contingencia aplicada del 15 % equivale a $6.764.700 COP. El documento incluye ocho plantillas: datos generales, cronograma de sprints, presupuesto por rol, costos tecnológicos, resumen financiero, matriz de negociación Turso vs. Supabase, riesgos económicos y conclusión de viabilidad. A la fecha de elaboración, ocho de las doce fases se encuentran completadas y en producción.</w:t>
      </w:r>
    </w:p>
    <w:p>
      <w:pPr>
        <w:pStyle w:val="Normal"/>
        <w:spacing w:lineRule="auto" w:line="480" w:before="0" w:after="0"/>
        <w:ind w:firstLine="720"/>
        <w:jc w:val="left"/>
        <w:rPr/>
      </w:pPr>
      <w:r>
        <w:rPr>
          <w:rFonts w:ascii="Times New Roman" w:hAnsi="Times New Roman"/>
          <w:b/>
          <w:i/>
          <w:sz w:val="24"/>
        </w:rPr>
        <w:t xml:space="preserve">Palabras clave: </w:t>
      </w:r>
      <w:r>
        <w:rPr>
          <w:rFonts w:ascii="Times New Roman" w:hAnsi="Times New Roman"/>
          <w:b w:val="false"/>
          <w:i/>
          <w:sz w:val="24"/>
        </w:rPr>
        <w:t>presupuesto de software, negociación tecnológica, sprints, café de especialidad, desarrollo web, Turso, Vercel, gestión de proyectos.</w:t>
      </w:r>
    </w:p>
    <w:p>
      <w:pPr>
        <w:pStyle w:val="Normal"/>
        <w:rPr/>
      </w:pPr>
      <w:r>
        <w:rPr/>
      </w:r>
      <w:r>
        <w:br w:type="page"/>
      </w:r>
    </w:p>
    <w:p>
      <w:pPr>
        <w:pStyle w:val="Normal"/>
        <w:spacing w:lineRule="auto" w:line="480" w:before="0" w:after="0"/>
        <w:jc w:val="center"/>
        <w:rPr/>
      </w:pPr>
      <w:r>
        <w:rPr>
          <w:rFonts w:ascii="Times New Roman" w:hAnsi="Times New Roman"/>
          <w:b/>
          <w:i w:val="false"/>
          <w:sz w:val="24"/>
        </w:rPr>
        <w:t>Presupuesto de Elaboración y Marco de Negociación Tecnológica</w:t>
        <w:br/>
        <w:t>del Proyecto DobleYo Café</w:t>
      </w:r>
    </w:p>
    <w:p>
      <w:pPr>
        <w:pStyle w:val="Normal"/>
        <w:spacing w:lineRule="auto" w:line="480" w:before="0" w:after="0"/>
        <w:jc w:val="left"/>
        <w:rPr/>
      </w:pPr>
      <w:r>
        <w:rPr>
          <w:rFonts w:ascii="Times New Roman" w:hAnsi="Times New Roman"/>
          <w:b/>
          <w:i w:val="false"/>
          <w:sz w:val="24"/>
        </w:rPr>
        <w:t>Introducción</w:t>
      </w:r>
    </w:p>
    <w:p>
      <w:pPr>
        <w:pStyle w:val="Normal"/>
        <w:spacing w:lineRule="auto" w:line="480" w:before="0" w:after="0"/>
        <w:ind w:firstLine="720"/>
        <w:jc w:val="both"/>
        <w:rPr/>
      </w:pPr>
      <w:r>
        <w:rPr>
          <w:rFonts w:ascii="Times New Roman" w:hAnsi="Times New Roman"/>
          <w:b w:val="false"/>
          <w:i w:val="false"/>
          <w:sz w:val="24"/>
        </w:rPr>
        <w:t>DobleYo Café es una plataforma de comercio electrónico de café de especialidad colombiano que integra cinco módulos funcionales: tienda online B2C para Colombia y B2B/B2C para Estados Unidos, pipeline de producción con trazabilidad completa del grano desde la finca hasta el consumidor final, sistema de etiquetado con código QR en el empaque, módulo financiero con contabilidad de doble partida y panel de administración (ERP) con inventario, lotes, usuarios y mapa de calor de ventas. El proyecto utiliza un stack tecnológico moderno compuesto por Astro 5.16 con renderizado del lado del servidor (SSR), React 19 para componentes interactivos, Express 4.19 como API backend, Turso (libSQL/SQLite distribuido) como motor de base de datos y Vercel como plataforma de despliegue.</w:t>
      </w:r>
    </w:p>
    <w:p>
      <w:pPr>
        <w:pStyle w:val="Normal"/>
        <w:spacing w:lineRule="auto" w:line="480" w:before="0" w:after="0"/>
        <w:ind w:firstLine="720"/>
        <w:jc w:val="both"/>
        <w:rPr/>
      </w:pPr>
      <w:r>
        <w:rPr>
          <w:rFonts w:ascii="Times New Roman" w:hAnsi="Times New Roman"/>
          <w:b w:val="false"/>
          <w:i w:val="false"/>
          <w:sz w:val="24"/>
        </w:rPr>
        <w:t>El presente informe documenta el presupuesto de elaboración y el marco de negociación tecnológica del proyecto, desarrollado bajo la metodología ágil Scrum con sprints de dos semanas. El documento está organizado en ocho plantillas conforme a la guía metodológica del Servicio Nacional de Aprendizaje (SENA) para el componente de Negociación Tecnológica del programa de Tecnología en Análisis y Desarrollo de Software.</w:t>
      </w:r>
    </w:p>
    <w:p>
      <w:pPr>
        <w:pStyle w:val="Normal"/>
        <w:spacing w:lineRule="auto" w:line="480" w:before="0" w:after="0"/>
        <w:jc w:val="left"/>
        <w:rPr/>
      </w:pPr>
      <w:r>
        <w:rPr>
          <w:rFonts w:ascii="Times New Roman" w:hAnsi="Times New Roman"/>
          <w:b/>
          <w:i w:val="false"/>
          <w:sz w:val="24"/>
        </w:rPr>
        <w:t>Plantilla 1. Datos Generales del Proyecto</w:t>
      </w:r>
    </w:p>
    <w:p>
      <w:pPr>
        <w:pStyle w:val="Normal"/>
        <w:spacing w:lineRule="auto" w:line="480" w:before="0" w:after="0"/>
        <w:jc w:val="left"/>
        <w:rPr/>
      </w:pPr>
      <w:r>
        <w:rPr>
          <w:rFonts w:ascii="Times New Roman" w:hAnsi="Times New Roman"/>
          <w:b/>
          <w:i w:val="false"/>
          <w:sz w:val="24"/>
        </w:rPr>
        <w:t>Tabla 1</w:t>
      </w:r>
      <w:r>
        <w:rPr/>
        <w:br/>
      </w:r>
      <w:r>
        <w:rPr>
          <w:rFonts w:ascii="Times New Roman" w:hAnsi="Times New Roman"/>
          <w:b w:val="false"/>
          <w:i/>
          <w:sz w:val="24"/>
        </w:rPr>
        <w:t>Datos generales del proyecto DobleYo Café</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Campo</w:t>
            </w:r>
          </w:p>
        </w:tc>
        <w:tc>
          <w:tcPr>
            <w:tcW w:w="467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Descripción</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Nombre del proyecto</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DobleYo Café</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Problema o necesidad que atiende</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Los productores y comercializadores de café de especialidad colombiano carecen de una plataforma digital integrada que unifique la venta directa (B2C Colombia y B2B/B2C USA), la trazabilidad completa del grano (finca → cosecha → tostión → empaque → venta mediante código QR), la gestión de producción y el control financiero en un único sistema.</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Producto de software a construir</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Aplicación web SSR con cinco módulos: (1) Tienda online con carrito, checkout y pasarelas de pago; (2) Pipeline de producción (cosecha, almacenamiento verde, tostión, recibo tostado, empaque, etiquetado); (3) Trazabilidad con QR en empaque; (4) Módulo financiero con contabilidad de doble partida; (5) Panel Admin/ERP con inventario, lotes, usuarios, ventas y mapa de calor.</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Duración total del proyecto</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 semanas (12 sprints de 2 semanas cada uno)</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Moneda utilizada</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Peso colombiano (COP). Tasa de referencia: $4.150 COP/USD</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Supuestos principales</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Un solo desarrollador full-stack asume todos los roles funcionales a $80.000/hora. Promedio de 22,5 horas de trabajo por semana. La IA (Claude Pro) se registra como herramienta tecnológica. Los costos tecnológicos se calculan para 6 meses continuos. No se incluyen costos de oficina ni equipos de cómputo. La contingencia del 15 % cubre cambios de alcance e integraciones de pago.</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Elaboración propia (2026).</w:t>
      </w:r>
    </w:p>
    <w:p>
      <w:pPr>
        <w:pStyle w:val="Normal"/>
        <w:spacing w:lineRule="auto" w:line="480" w:before="0" w:after="0"/>
        <w:jc w:val="left"/>
        <w:rPr/>
      </w:pPr>
      <w:r>
        <w:rPr>
          <w:rFonts w:ascii="Times New Roman" w:hAnsi="Times New Roman"/>
          <w:b/>
          <w:i w:val="false"/>
          <w:sz w:val="24"/>
        </w:rPr>
        <w:t>Plantilla 2. Cronograma de Sprints y Entregables</w:t>
      </w:r>
    </w:p>
    <w:p>
      <w:pPr>
        <w:pStyle w:val="Normal"/>
        <w:spacing w:lineRule="auto" w:line="480" w:before="0" w:after="0"/>
        <w:jc w:val="left"/>
        <w:rPr/>
      </w:pPr>
      <w:r>
        <w:rPr>
          <w:rFonts w:ascii="Times New Roman" w:hAnsi="Times New Roman"/>
          <w:b/>
          <w:i w:val="false"/>
          <w:sz w:val="24"/>
        </w:rPr>
        <w:t>Tabla 2</w:t>
      </w:r>
      <w:r>
        <w:rPr/>
        <w:br/>
      </w:r>
      <w:r>
        <w:rPr>
          <w:rFonts w:ascii="Times New Roman" w:hAnsi="Times New Roman"/>
          <w:b w:val="false"/>
          <w:i/>
          <w:sz w:val="24"/>
        </w:rPr>
        <w:t>Cronograma de sprints, módulos, entregables y dependencias tecnológicas</w:t>
      </w:r>
    </w:p>
    <w:tbl>
      <w:tblPr>
        <w:tblStyle w:val="TableGrid"/>
        <w:tblW w:w="93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37"/>
        <w:gridCol w:w="1336"/>
        <w:gridCol w:w="1338"/>
        <w:gridCol w:w="1336"/>
        <w:gridCol w:w="1338"/>
        <w:gridCol w:w="1336"/>
        <w:gridCol w:w="1337"/>
      </w:tblGrid>
      <w:tr>
        <w:trPr/>
        <w:tc>
          <w:tcPr>
            <w:tcW w:w="1337"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Sprint</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Fase</w:t>
            </w:r>
          </w:p>
        </w:tc>
        <w:tc>
          <w:tcPr>
            <w:tcW w:w="133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Fechas</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Módulos / Historias</w:t>
            </w:r>
          </w:p>
        </w:tc>
        <w:tc>
          <w:tcPr>
            <w:tcW w:w="133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Entregable verificable</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Estado</w:t>
            </w:r>
          </w:p>
        </w:tc>
        <w:tc>
          <w:tcPr>
            <w:tcW w:w="1337"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sprint</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F0 — Documentación base</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25 ago – 05 sep 2025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Arquitectura, schema SQL (35+ tablas), convenciones de código, CLAUDE.md, AGENTS.md</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Repositorio inicializado, schema completo, documentación técnica aprobada</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S2</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F1 — Tienda online</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08 sep – 19 sep 2025</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Catálogo, carrito, homepage con hero video, layout público</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Homepage publicada, catálogo funcional, deploy en Vercel con dominio dobleyo.cafe</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$4.800.000</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S3</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F2 — Pipeline de producción</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22 sep – 03 oct 2025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Cosecha, almacenamiento verde, tostión, recibo, empaque, etiquetas QR</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 etapas de producción con formularios y endpoints API validados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S4</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F3 — Legal y PQRS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06 oct – 17 oct 2025</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Términos y condiciones, política de privacidad, formulario de contacto PQRS, cookies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Páginas legales publicadas con SEO, formulario de contacto con Resend</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$1.600.000</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F4 — Pagos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 oct – 31 oct 2025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Checkout con Wompi (Colombia), confirmación de orden, emails de confirmación</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Pago exitoso end-to-end en ambiente de pruebas, orden en BD</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S6</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F5 — Trazabilidad QR</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03 nov – 14 nov 2025</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Scanner QR, búsqueda manual, página /t/[code], historial del lote</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QR imprimible enlazado a URL pública con datos reales desde BD</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$4.000.000</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S7</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F6 — Finanzas / Contabilidad</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 nov – 28 nov 2025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 de cuentas (doble partida), asientos contables, facturación, presupuestos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Dashboard financiero con KPIs reales, asientos automáticos al registrar ventas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$4.400.000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S8</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F7 — Fincas / Caficultores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01 dic – 12 dic 2025</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Landing pages de fincas con slug, galería, datos del caficultor, mapa</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Páginas /finca/[slug] con SEO individual por finca</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Pendiente</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$3.200.000</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S9</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F8 — Heatmap de ventas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 dic – 26 dic 2025</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Integración MercadoLibre, geocodificación, mapa de calor en admin</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Mapa de calor funcional con datos reales de ML, KPIs en tiempo real</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$2.800.000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S10</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F9 — Internacionalización</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05 ene – 16 ene 2026</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Versión en inglés (en.dobleyo.cafe), landing B2B para USA, i18n, subdomain routing</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Sitio en inglés con SEO, hreflang configurado</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Pendiente</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$3.200.000</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S11</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F10 — Admin / ERP completo</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 ene – 30 ene 2026</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Panel admin rediseñado: inventario, lotes, usuarios, ventas, auditoría, estadísticas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Panel admin 100 % operativo con todos los CRUD funcionales y datos reales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Completado</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$4.800.000</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S12</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F11+F12 — SEO / CI/CD</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02 feb – 13 feb 2026</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Hardening OWASP, Core Web Vitals, JSON-LD, pipelines CI/CD con GitHub Actions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Lighthouse ≥ 90, tests automatizados en CI, deploy automático a producción</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Pendiente</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$3.600.000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8 de 12 sprints completados a la fecha de elaboración del presente documento (junio de 2026). Los sprints S8, S10 y S12 se encuentran en estado pendiente. Elaboración propia (2026).</w:t>
      </w:r>
    </w:p>
    <w:p>
      <w:pPr>
        <w:pStyle w:val="Normal"/>
        <w:spacing w:lineRule="auto" w:line="480" w:before="0" w:after="0"/>
        <w:jc w:val="left"/>
        <w:rPr/>
      </w:pPr>
      <w:r>
        <w:rPr>
          <w:rFonts w:ascii="Times New Roman" w:hAnsi="Times New Roman"/>
          <w:b/>
          <w:i w:val="false"/>
          <w:sz w:val="24"/>
        </w:rPr>
        <w:t>Plantilla 3. Presupuesto por Rol y Sprint</w:t>
      </w:r>
    </w:p>
    <w:p>
      <w:pPr>
        <w:pStyle w:val="Normal"/>
        <w:spacing w:lineRule="auto" w:line="480" w:before="0" w:after="0"/>
        <w:ind w:firstLine="720"/>
        <w:jc w:val="both"/>
        <w:rPr/>
      </w:pPr>
      <w:r>
        <w:rPr>
          <w:rFonts w:ascii="Times New Roman" w:hAnsi="Times New Roman"/>
          <w:b w:val="false"/>
          <w:i w:val="false"/>
          <w:sz w:val="24"/>
        </w:rPr>
        <w:t>Mike Rodríguez ejerce todos los roles funcionales del proyecto. Las horas se distribuyen por área funcional para reflejar el esfuerzo real en cada dimensión del trabajo. Tarifa única: $80.000 COP por hora para todos los roles.</w:t>
      </w:r>
    </w:p>
    <w:p>
      <w:pPr>
        <w:pStyle w:val="Normal"/>
        <w:spacing w:lineRule="auto" w:line="480" w:before="0" w:after="0"/>
        <w:jc w:val="left"/>
        <w:rPr/>
      </w:pPr>
      <w:r>
        <w:rPr>
          <w:rFonts w:ascii="Times New Roman" w:hAnsi="Times New Roman"/>
          <w:b/>
          <w:i w:val="false"/>
          <w:sz w:val="24"/>
        </w:rPr>
        <w:t>Tabla 3</w:t>
      </w:r>
      <w:r>
        <w:rPr/>
        <w:br/>
      </w:r>
      <w:r>
        <w:rPr>
          <w:rFonts w:ascii="Times New Roman" w:hAnsi="Times New Roman"/>
          <w:b w:val="false"/>
          <w:i/>
          <w:sz w:val="24"/>
        </w:rPr>
        <w:t>Presupuesto por rol — Sprints 1 a 6 (COP)</w:t>
      </w:r>
    </w:p>
    <w:tbl>
      <w:tblPr>
        <w:tblStyle w:val="TableGrid"/>
        <w:tblW w:w="93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68"/>
        <w:gridCol w:w="670"/>
        <w:gridCol w:w="669"/>
        <w:gridCol w:w="668"/>
        <w:gridCol w:w="669"/>
        <w:gridCol w:w="670"/>
        <w:gridCol w:w="669"/>
        <w:gridCol w:w="668"/>
        <w:gridCol w:w="670"/>
        <w:gridCol w:w="669"/>
        <w:gridCol w:w="668"/>
        <w:gridCol w:w="669"/>
        <w:gridCol w:w="670"/>
        <w:gridCol w:w="668"/>
      </w:tblGrid>
      <w:tr>
        <w:trPr/>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Rol</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Tarifa/h</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S1</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S1</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S2</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S2</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S3</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S3</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S4</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S4</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S5</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S5</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S6</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S6</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Product Owner / Analista</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r>
      <w:tr>
        <w:trPr/>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Backend</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$1.920.000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$1.920.000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$640.000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$1.600.000</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Frontend</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$720.000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$1.680.000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$560.000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18</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$1.440.000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18</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$1.440.000</w:t>
            </w:r>
          </w:p>
        </w:tc>
      </w:tr>
      <w:tr>
        <w:trPr/>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Tester QA</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DevOps / Infraestructura</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r>
      <w:tr>
        <w:trPr/>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Subtotal sprint</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25</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$2.000.000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60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$4.800.000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60</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$4.800.000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$1.600.000</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50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$4.000.000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50</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$4.000.000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Elaboración propia (2026).</w:t>
      </w:r>
    </w:p>
    <w:p>
      <w:pPr>
        <w:pStyle w:val="Normal"/>
        <w:spacing w:lineRule="auto" w:line="480" w:before="0" w:after="0"/>
        <w:jc w:val="left"/>
        <w:rPr/>
      </w:pPr>
      <w:r>
        <w:rPr>
          <w:rFonts w:ascii="Times New Roman" w:hAnsi="Times New Roman"/>
          <w:b/>
          <w:i w:val="false"/>
          <w:sz w:val="24"/>
        </w:rPr>
        <w:t>Tabla 4</w:t>
      </w:r>
      <w:r>
        <w:rPr/>
        <w:br/>
      </w:r>
      <w:r>
        <w:rPr>
          <w:rFonts w:ascii="Times New Roman" w:hAnsi="Times New Roman"/>
          <w:b w:val="false"/>
          <w:i/>
          <w:sz w:val="24"/>
        </w:rPr>
        <w:t>Presupuesto por rol — Sprints 7 a 12 (COP)</w:t>
      </w:r>
    </w:p>
    <w:tbl>
      <w:tblPr>
        <w:tblStyle w:val="TableGrid"/>
        <w:tblW w:w="93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68"/>
        <w:gridCol w:w="670"/>
        <w:gridCol w:w="669"/>
        <w:gridCol w:w="668"/>
        <w:gridCol w:w="669"/>
        <w:gridCol w:w="670"/>
        <w:gridCol w:w="669"/>
        <w:gridCol w:w="668"/>
        <w:gridCol w:w="670"/>
        <w:gridCol w:w="669"/>
        <w:gridCol w:w="668"/>
        <w:gridCol w:w="669"/>
        <w:gridCol w:w="670"/>
        <w:gridCol w:w="668"/>
      </w:tblGrid>
      <w:tr>
        <w:trPr/>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Rol</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Tarifa/h</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S7</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S7</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S8</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S8</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S9</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S9</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S10</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S10</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S11</w:t>
            </w:r>
          </w:p>
        </w:tc>
        <w:tc>
          <w:tcPr>
            <w:tcW w:w="66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S11</w:t>
            </w:r>
          </w:p>
        </w:tc>
        <w:tc>
          <w:tcPr>
            <w:tcW w:w="67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H S12</w:t>
            </w:r>
          </w:p>
        </w:tc>
        <w:tc>
          <w:tcPr>
            <w:tcW w:w="66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S12</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Product Owner / Analista</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r>
      <w:tr>
        <w:trPr/>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Backend</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22</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$1.760.000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$1.120.000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$1.280.000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$1.920.000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18</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$1.440.000</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Frontend</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$1.120.000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$1.040.000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14</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$1.120.000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$1.680.000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$1.280.000</w:t>
            </w:r>
          </w:p>
        </w:tc>
      </w:tr>
      <w:tr>
        <w:trPr/>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Tester QA</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w:t>
            </w:r>
          </w:p>
        </w:tc>
        <w:tc>
          <w:tcPr>
            <w:tcW w:w="66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$480.000</w:t>
            </w:r>
          </w:p>
        </w:tc>
        <w:tc>
          <w:tcPr>
            <w:tcW w:w="67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w:t>
            </w:r>
          </w:p>
        </w:tc>
        <w:tc>
          <w:tcPr>
            <w:tcW w:w="66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$320.000</w:t>
            </w:r>
          </w:p>
        </w:tc>
      </w:tr>
      <w:tr>
        <w:trPr/>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DevOps / Infraestructura</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c>
          <w:tcPr>
            <w:tcW w:w="6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w:t>
            </w:r>
          </w:p>
        </w:tc>
        <w:tc>
          <w:tcPr>
            <w:tcW w:w="66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$240.000</w:t>
            </w:r>
          </w:p>
        </w:tc>
      </w:tr>
      <w:tr>
        <w:trPr/>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Subtotal sprint</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55</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$4.400.000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$3.200.000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35</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$2.800.000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$3.200.000</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60</w:t>
            </w:r>
          </w:p>
        </w:tc>
        <w:tc>
          <w:tcPr>
            <w:tcW w:w="66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$4.800.000</w:t>
            </w:r>
          </w:p>
        </w:tc>
        <w:tc>
          <w:tcPr>
            <w:tcW w:w="67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45</w:t>
            </w:r>
          </w:p>
        </w:tc>
        <w:tc>
          <w:tcPr>
            <w:tcW w:w="66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$3.600.000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Elaboración propia (2026).</w:t>
      </w:r>
    </w:p>
    <w:p>
      <w:pPr>
        <w:pStyle w:val="Normal"/>
        <w:spacing w:lineRule="auto" w:line="480" w:before="0" w:after="0"/>
        <w:jc w:val="left"/>
        <w:rPr/>
      </w:pPr>
      <w:r>
        <w:rPr>
          <w:rFonts w:ascii="Times New Roman" w:hAnsi="Times New Roman"/>
          <w:b/>
          <w:i w:val="false"/>
          <w:sz w:val="24"/>
        </w:rPr>
        <w:t>Tabla 5</w:t>
      </w:r>
      <w:r>
        <w:rPr/>
        <w:br/>
      </w:r>
      <w:r>
        <w:rPr>
          <w:rFonts w:ascii="Times New Roman" w:hAnsi="Times New Roman"/>
          <w:b w:val="false"/>
          <w:i/>
          <w:sz w:val="24"/>
        </w:rPr>
        <w:t>Totales por rol — Todos los sprints (COP)</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Rol</w:t>
            </w:r>
          </w:p>
        </w:tc>
        <w:tc>
          <w:tcPr>
            <w:tcW w:w="234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Tarifa/h</w:t>
            </w:r>
          </w:p>
        </w:tc>
        <w:tc>
          <w:tcPr>
            <w:tcW w:w="234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Total horas</w:t>
            </w:r>
          </w:p>
        </w:tc>
        <w:tc>
          <w:tcPr>
            <w:tcW w:w="233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Total costo</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Product Owner / Analista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53 h</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$4.240.000</w:t>
            </w:r>
          </w:p>
        </w:tc>
      </w:tr>
      <w:tr>
        <w:trPr/>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Backend</w:t>
            </w:r>
          </w:p>
        </w:tc>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216 h</w:t>
            </w:r>
          </w:p>
        </w:tc>
        <w:tc>
          <w:tcPr>
            <w:tcW w:w="233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$17.280.000</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Desarrollador Frontend</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192 h</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$15.360.000</w:t>
            </w:r>
          </w:p>
        </w:tc>
      </w:tr>
      <w:tr>
        <w:trPr/>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Tester QA</w:t>
            </w:r>
          </w:p>
        </w:tc>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234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52 h</w:t>
            </w:r>
          </w:p>
        </w:tc>
        <w:tc>
          <w:tcPr>
            <w:tcW w:w="233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$4.160.000</w:t>
            </w:r>
          </w:p>
        </w:tc>
      </w:tr>
      <w:tr>
        <w:trPr/>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DevOps / Infraestructura</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23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27 h</w:t>
            </w:r>
          </w:p>
        </w:tc>
        <w:tc>
          <w:tcPr>
            <w:tcW w:w="233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$2.160.000</w:t>
            </w:r>
          </w:p>
        </w:tc>
      </w:tr>
      <w:tr>
        <w:trPr/>
        <w:tc>
          <w:tcPr>
            <w:tcW w:w="234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Total talento humano</w:t>
            </w:r>
          </w:p>
        </w:tc>
        <w:tc>
          <w:tcPr>
            <w:tcW w:w="234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34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540 h</w:t>
            </w:r>
          </w:p>
        </w:tc>
        <w:tc>
          <w:tcPr>
            <w:tcW w:w="233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$43.200.000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 total de horas corresponde a 22,5 horas promedio por semana durante 24 semanas. Elaboración propia (2026).</w:t>
      </w:r>
    </w:p>
    <w:p>
      <w:pPr>
        <w:pStyle w:val="Normal"/>
        <w:spacing w:lineRule="auto" w:line="480" w:before="0" w:after="0"/>
        <w:jc w:val="left"/>
        <w:rPr/>
      </w:pPr>
      <w:r>
        <w:rPr>
          <w:rFonts w:ascii="Times New Roman" w:hAnsi="Times New Roman"/>
          <w:b/>
          <w:i w:val="false"/>
          <w:sz w:val="24"/>
        </w:rPr>
        <w:t>Plantilla 4. Costos Tecnológicos y Licencias</w:t>
      </w:r>
    </w:p>
    <w:p>
      <w:pPr>
        <w:pStyle w:val="Normal"/>
        <w:spacing w:lineRule="auto" w:line="480" w:before="0" w:after="0"/>
        <w:jc w:val="left"/>
        <w:rPr/>
      </w:pPr>
      <w:r>
        <w:rPr>
          <w:rFonts w:ascii="Times New Roman" w:hAnsi="Times New Roman"/>
          <w:b/>
          <w:i w:val="false"/>
          <w:sz w:val="24"/>
        </w:rPr>
        <w:t>Tabla 6</w:t>
      </w:r>
      <w:r>
        <w:rPr/>
        <w:br/>
      </w:r>
      <w:r>
        <w:rPr>
          <w:rFonts w:ascii="Times New Roman" w:hAnsi="Times New Roman"/>
          <w:b w:val="false"/>
          <w:i/>
          <w:sz w:val="24"/>
        </w:rPr>
        <w:t>Costos tecnológicos por concepto, proveedor y sprint (COP)</w:t>
      </w:r>
    </w:p>
    <w:tbl>
      <w:tblPr>
        <w:tblStyle w:val="TableGrid"/>
        <w:tblW w:w="93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37"/>
        <w:gridCol w:w="1336"/>
        <w:gridCol w:w="1338"/>
        <w:gridCol w:w="1336"/>
        <w:gridCol w:w="1338"/>
        <w:gridCol w:w="1336"/>
        <w:gridCol w:w="1337"/>
      </w:tblGrid>
      <w:tr>
        <w:trPr/>
        <w:tc>
          <w:tcPr>
            <w:tcW w:w="1337"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Concepto</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Proveedor</w:t>
            </w:r>
          </w:p>
        </w:tc>
        <w:tc>
          <w:tcPr>
            <w:tcW w:w="133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Sprints</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Cantidad</w:t>
            </w:r>
          </w:p>
        </w:tc>
        <w:tc>
          <w:tcPr>
            <w:tcW w:w="1338"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Costo unitario</w:t>
            </w:r>
          </w:p>
        </w:tc>
        <w:tc>
          <w:tcPr>
            <w:tcW w:w="1336"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Subtotal</w:t>
            </w:r>
          </w:p>
        </w:tc>
        <w:tc>
          <w:tcPr>
            <w:tcW w:w="1337"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Justificación</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Vercel Pro</w:t>
              <w:br/>
              <w:t>(hosting, CDN, despliegue)</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Vercel</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 – S12</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 meses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$83.000/mes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$498.000</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Alojamiento del frontend Astro y funciones serverless. Incluye dominios custom, analytics básico, preview deployments y SLA de disponibilidad.</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Turso Scaler</w:t>
              <w:br/>
              <w:t>(base de datos libSQL)</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Turso.io</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 – S12</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 meses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$120.000/mes</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$720.000</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Base de datos SQLite distribuida para todos los módulos (35+ tablas). Plan Scaler: hasta 500 bases de datos, 30 GB de almacenamiento, réplicas edge y soporte técnico.</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Claude Pro</w:t>
              <w:br/>
              <w:t>(IA de desarrollo)</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Anthropic</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 – S12</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 meses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$83.000/mes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$498.000</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Herramienta de asistencia en generación de código, revisión de arquitectura y resolución de errores. Reduce significativamente el tiempo de desarrollo individual.</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GitHub Pro</w:t>
              <w:br/>
              <w:t>(repositorio y CI)</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GitHub</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 – S12</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 meses</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$17.000/mes</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$102.000</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Repositorio privado, historial ilimitado, GitHub Actions para CI/CD en Fase 12 y revisión de código con pull requests.</w:t>
            </w:r>
          </w:p>
        </w:tc>
      </w:tr>
      <w:tr>
        <w:trPr/>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Resend</w:t>
              <w:br/>
              <w:t>(correo transaccional)</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Resend</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 – S12</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 meses</w:t>
            </w:r>
          </w:p>
        </w:tc>
        <w:tc>
          <w:tcPr>
            <w:tcW w:w="1338"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$0/mes</w:t>
            </w:r>
          </w:p>
        </w:tc>
        <w:tc>
          <w:tcPr>
            <w:tcW w:w="1336"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w:t>
            </w:r>
          </w:p>
        </w:tc>
        <w:tc>
          <w:tcPr>
            <w:tcW w:w="1337"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 gratuito: hasta 3.000 correos por mes. Cubre verificación de correo, confirmaciones de orden y formularios de contacto PQRS en el volumen actual del MVP.</w:t>
            </w:r>
          </w:p>
        </w:tc>
      </w:tr>
      <w:tr>
        <w:trPr/>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Dominio dobleyo.cafe</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Cloudflare Registrar</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S12</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 año</w:t>
            </w:r>
          </w:p>
        </w:tc>
        <w:tc>
          <w:tcPr>
            <w:tcW w:w="1338"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1336"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w:t>
            </w:r>
          </w:p>
        </w:tc>
        <w:tc>
          <w:tcPr>
            <w:tcW w:w="1337"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Dominio premium .cafe para posicionamiento de marca en el sector cafetero. SSL/TLS gestionado automáticamente por Vercel.</w:t>
            </w:r>
          </w:p>
        </w:tc>
      </w:tr>
      <w:tr>
        <w:trPr/>
        <w:tc>
          <w:tcPr>
            <w:tcW w:w="1337"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Subtotal tecnológico</w:t>
            </w:r>
          </w:p>
        </w:tc>
        <w:tc>
          <w:tcPr>
            <w:tcW w:w="1336"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33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336"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338"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336"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$1.898.000</w:t>
            </w:r>
          </w:p>
        </w:tc>
        <w:tc>
          <w:tcPr>
            <w:tcW w:w="1337"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Costos en USD convertidos a COP usando tasa de referencia $4.150 COP/USD. Elaboración propia (2026).</w:t>
      </w:r>
    </w:p>
    <w:p>
      <w:pPr>
        <w:pStyle w:val="Normal"/>
        <w:spacing w:lineRule="auto" w:line="480" w:before="0" w:after="0"/>
        <w:jc w:val="left"/>
        <w:rPr/>
      </w:pPr>
      <w:r>
        <w:rPr>
          <w:rFonts w:ascii="Times New Roman" w:hAnsi="Times New Roman"/>
          <w:b/>
          <w:i w:val="false"/>
          <w:sz w:val="24"/>
        </w:rPr>
        <w:t>Plantilla 5. Resumen Financiero del Proyecto</w:t>
      </w:r>
    </w:p>
    <w:p>
      <w:pPr>
        <w:pStyle w:val="Normal"/>
        <w:spacing w:lineRule="auto" w:line="480" w:before="0" w:after="0"/>
        <w:jc w:val="left"/>
        <w:rPr/>
      </w:pPr>
      <w:r>
        <w:rPr>
          <w:rFonts w:ascii="Times New Roman" w:hAnsi="Times New Roman"/>
          <w:b/>
          <w:i w:val="false"/>
          <w:sz w:val="24"/>
        </w:rPr>
        <w:t>Tabla 7</w:t>
      </w:r>
      <w:r>
        <w:rPr/>
        <w:br/>
      </w:r>
      <w:r>
        <w:rPr>
          <w:rFonts w:ascii="Times New Roman" w:hAnsi="Times New Roman"/>
          <w:b w:val="false"/>
          <w:i/>
          <w:sz w:val="24"/>
        </w:rPr>
        <w:t>Resumen financiero del proyecto DobleYo Café (COP)</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Concepto</w:t>
            </w:r>
          </w:p>
        </w:tc>
        <w:tc>
          <w:tcPr>
            <w:tcW w:w="4679"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Valor (COP)</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Subtotal talento humano (540 h × $80.000/h)</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$43.200.000</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Subtotal herramientas, licencias e infraestructura</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$1.898.000</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Subtotal pruebas, capacitación y documentación</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 (incluido en las horas de talento humano de QA y PO)</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Subtotal general antes de contingencia</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$45.098.000</w:t>
            </w:r>
          </w:p>
        </w:tc>
      </w:tr>
      <w:tr>
        <w:trPr/>
        <w:tc>
          <w:tcPr>
            <w:tcW w:w="468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Porcentaje de contingencia aplicado</w:t>
            </w:r>
          </w:p>
        </w:tc>
        <w:tc>
          <w:tcPr>
            <w:tcW w:w="4679"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15 %</w:t>
            </w:r>
          </w:p>
        </w:tc>
      </w:tr>
      <w:tr>
        <w:trPr/>
        <w:tc>
          <w:tcPr>
            <w:tcW w:w="468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Valor de contingencia</w:t>
            </w:r>
          </w:p>
        </w:tc>
        <w:tc>
          <w:tcPr>
            <w:tcW w:w="4679"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$6.764.700</w:t>
            </w:r>
          </w:p>
        </w:tc>
      </w:tr>
      <w:tr>
        <w:trPr/>
        <w:tc>
          <w:tcPr>
            <w:tcW w:w="4680"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Total estimado del proyecto</w:t>
            </w:r>
          </w:p>
        </w:tc>
        <w:tc>
          <w:tcPr>
            <w:tcW w:w="4679"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$51.862.700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 talento humano representa el 83,3 % del presupuesto total. Los costos tecnológicos equivalen al 3,7 %. La contingencia del 15 % está dimensionada para absorber los riesgos de las integraciones con plataformas externas y la complejidad del módulo financiero de doble partida. Elaboración propia (2026).</w:t>
      </w:r>
    </w:p>
    <w:p>
      <w:pPr>
        <w:pStyle w:val="Normal"/>
        <w:spacing w:lineRule="auto" w:line="480" w:before="0" w:after="0"/>
        <w:jc w:val="left"/>
        <w:rPr/>
      </w:pPr>
      <w:r>
        <w:rPr>
          <w:rFonts w:ascii="Times New Roman" w:hAnsi="Times New Roman"/>
          <w:b/>
          <w:i w:val="false"/>
          <w:sz w:val="24"/>
        </w:rPr>
        <w:t>Plantilla 6. Matriz de Negociación Tecnológica</w:t>
      </w:r>
    </w:p>
    <w:p>
      <w:pPr>
        <w:pStyle w:val="Normal"/>
        <w:spacing w:lineRule="auto" w:line="480" w:before="0" w:after="0"/>
        <w:ind w:firstLine="720"/>
        <w:jc w:val="both"/>
        <w:rPr/>
      </w:pPr>
      <w:r>
        <w:rPr>
          <w:rFonts w:ascii="Times New Roman" w:hAnsi="Times New Roman"/>
          <w:b w:val="false"/>
          <w:i w:val="false"/>
          <w:sz w:val="24"/>
        </w:rPr>
        <w:t>Para la capa de base de datos del sistema se evaluaron dos alternativas: Turso (libSQL/SQLite distribuido, $29 USD/mes) frente a Supabase (PostgreSQL + auth + storage, $25 USD/mes). A continuación se presenta la matriz de negociación con ocho criterios técnicos, económicos y operativos.</w:t>
      </w:r>
    </w:p>
    <w:p>
      <w:pPr>
        <w:pStyle w:val="Normal"/>
        <w:spacing w:lineRule="auto" w:line="480" w:before="0" w:after="0"/>
        <w:jc w:val="left"/>
        <w:rPr/>
      </w:pPr>
      <w:r>
        <w:rPr>
          <w:rFonts w:ascii="Times New Roman" w:hAnsi="Times New Roman"/>
          <w:b/>
          <w:i w:val="false"/>
          <w:sz w:val="24"/>
        </w:rPr>
        <w:t>Tabla 8</w:t>
      </w:r>
      <w:r>
        <w:rPr/>
        <w:br/>
      </w:r>
      <w:r>
        <w:rPr>
          <w:rFonts w:ascii="Times New Roman" w:hAnsi="Times New Roman"/>
          <w:b w:val="false"/>
          <w:i/>
          <w:sz w:val="24"/>
        </w:rPr>
        <w:t>Matriz de negociación tecnológica: Turso vs. Supabase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Aspecto</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Condición requerida</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Turso — Scaler ($29 USD/mes)</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Supabase — Pro ($25 USD/mes)</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Decisión o acuerdo</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Alcance tecnológico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BD relacional compatible con Vercel, sin cold starts, multi-región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BD SQLite distribuida con réplicas edge automáticas. Compatible con cualquier framework JS vía @libsql/client.</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PostgreSQL completo + Auth integrado + Storage + Realtime + Edge Functions incluidas en el plan.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Turso ofrece el alcance exacto requerido. Supabase incluye más funciones no requeridas actualmente.</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Licenciamiento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Pago mensual, cancelable, sin contrato mínimo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$29 USD/mes (~$120.000 COP). Sin contrato mínimo. Cancelación inmediata.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$25 USD/mes (~$104.000 COP). Sin contrato mínimo. Cancelación inmediata.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Supabase es ligeramente más económico; Turso es aceptable dado el diferencial de $4 USD.</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Soporte</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Documentación completa + canal activo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Documentación oficial, Discord activo, tickets vía panel. Respuesta: 24-48 h.</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Documentación extensa, foro GitHub Discussions, tickets (respuesta en horas en Pro).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Equivalente. Turso tiene comunidad más pequeña pero respuestas técnicas directas.</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Disponibilidad / SLA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 xml:space="preserve">≥ </w:t>
            </w:r>
            <w:r>
              <w:rPr>
                <w:rFonts w:eastAsia="ＭＳ 明朝" w:cs="" w:ascii="Times New Roman" w:hAnsi="Times New Roman"/>
                <w:kern w:val="0"/>
                <w:sz w:val="20"/>
                <w:szCs w:val="22"/>
                <w:lang w:val="en-US" w:eastAsia="en-US" w:bidi="ar-SA"/>
              </w:rPr>
              <w:t>99,9 % uptime documentado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99,9 % SLA documentado. Mantenimiento con aviso previo.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99,9 % SLA en plan Pro. Estado en status.supabase.com.</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Equivalente. Ambos cumplen el requisito mínimo del proyecto.</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Seguridad y datos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TLS en tránsito, autenticación, datos en región controlada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TLS obligatorio, tokens de autenticación por BD, datos en Fly.io (USA/EU).</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TLS, Row Level Security nativo, MFA, SOC 2, datos en AWS.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Supabase es más robusto en seguridad. Turso es suficiente para el alcance actual.</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Escalabilidad</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Crecer en usuarios, almacenamiento y transacciones sin reconfiguración</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Réplicas edge automáticas, sin límite de lecturas, escala horizontal sin cambio de código.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Compute adicional desde +$10 USD/mes, read replicas, branching para preview environments.</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Turso escala mejor en lectura distribuida. Supabase escala mejor en compute y workloads complejos.</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Pagos y renovación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Facturación predecible, sin costos ocultos por uso moderado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Factura mensual fija en plan Scaler. Ancho de banda y almacenamiento incluidos hasta el límite del plan.</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Factura mensual base + cargos variables por compute excedente y egress.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Turso tiene costo más predecible. Supabase puede generar cargos variables.</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Propiedad intelectual y datos</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Exportación completa de datos en cualquier momento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Exportación vía SQL dump estándar SQLite. Sin lock-in.</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Exportación vía pg_dump de PostgreSQL. Sin lock-in de proveedor.</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Ambos permiten exportación total sin restricciones contractuales.</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Precios consultados en octubre de 2025. Elaboración propia (2026).</w:t>
      </w:r>
    </w:p>
    <w:p>
      <w:pPr>
        <w:pStyle w:val="Normal"/>
        <w:spacing w:lineRule="auto" w:line="480" w:before="0" w:after="0"/>
        <w:jc w:val="left"/>
        <w:rPr/>
      </w:pPr>
      <w:r>
        <w:rPr>
          <w:rFonts w:ascii="Times New Roman" w:hAnsi="Times New Roman"/>
          <w:b/>
          <w:i/>
          <w:sz w:val="24"/>
        </w:rPr>
        <w:t>Conclusión de la Negociación</w:t>
      </w:r>
    </w:p>
    <w:p>
      <w:pPr>
        <w:pStyle w:val="Normal"/>
        <w:spacing w:lineRule="auto" w:line="480" w:before="0" w:after="0"/>
        <w:ind w:firstLine="720"/>
        <w:jc w:val="both"/>
        <w:rPr/>
      </w:pPr>
      <w:r>
        <w:rPr>
          <w:rFonts w:ascii="Times New Roman" w:hAnsi="Times New Roman"/>
          <w:b w:val="false"/>
          <w:i w:val="false"/>
          <w:sz w:val="24"/>
        </w:rPr>
        <w:t>Se seleccionó Turso como proveedor de base de datos por las siguientes razones: (a) compatibilidad nativa con el entorno de Vercel edge, eliminando cold starts en las funciones serverless; (b) uso del driver @libsql/client ya integrado en el proyecto desde la fase de documentación; (c) sintaxis SQL compatible con SQLite (parámetros posicionales ?, función datetime('now')) que simplifica las consultas frente a PostgreSQL; y (d) costo mensual fijo sin cargos variables. Supabase sería la alternativa recomendada si el proyecto requiriera autenticación OAuth nativa, almacenamiento de archivos multimedia o workloads transaccionales muy intensivos en el futuro. Las condiciones mínimas negociadas con Turso incluyen: precio mensual fijo de $29 USD, cancelación sin penalidad, exportación de datos en cualquier momento, soporte vía Discord y tickets, SLA del 99,9 % y cifrado TLS en tránsito.</w:t>
      </w:r>
    </w:p>
    <w:p>
      <w:pPr>
        <w:pStyle w:val="Normal"/>
        <w:spacing w:lineRule="auto" w:line="480" w:before="0" w:after="0"/>
        <w:jc w:val="left"/>
        <w:rPr/>
      </w:pPr>
      <w:r>
        <w:rPr>
          <w:rFonts w:ascii="Times New Roman" w:hAnsi="Times New Roman"/>
          <w:b/>
          <w:i w:val="false"/>
          <w:sz w:val="24"/>
        </w:rPr>
        <w:t>Plantilla 7. Riesgos Económicos y Contingencia</w:t>
      </w:r>
    </w:p>
    <w:p>
      <w:pPr>
        <w:pStyle w:val="Normal"/>
        <w:spacing w:lineRule="auto" w:line="480" w:before="0" w:after="0"/>
        <w:jc w:val="left"/>
        <w:rPr/>
      </w:pPr>
      <w:r>
        <w:rPr>
          <w:rFonts w:ascii="Times New Roman" w:hAnsi="Times New Roman"/>
          <w:b/>
          <w:i w:val="false"/>
          <w:sz w:val="24"/>
        </w:rPr>
        <w:t>Tabla 9</w:t>
      </w:r>
      <w:r>
        <w:rPr/>
        <w:br/>
      </w:r>
      <w:r>
        <w:rPr>
          <w:rFonts w:ascii="Times New Roman" w:hAnsi="Times New Roman"/>
          <w:b w:val="false"/>
          <w:i/>
          <w:sz w:val="24"/>
        </w:rPr>
        <w:t>Registro de riesgos económicos con medidas de control y reservas (COP)</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Riesgo</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Impacto en costo</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Probabilidad</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Medida de control</w:t>
            </w:r>
          </w:p>
        </w:tc>
        <w:tc>
          <w:tcPr>
            <w:tcW w:w="1872"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Reserva sugerida</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Cambio de alcance en módulos de pago (Wompi/MercadoPago) por cambios en API del proveedor o requisitos regulatorios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Alto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Usar SDKs oficiales y ambientes de sandbox. Mantener contrato API versionado. Sprint de pagos con margen de pruebas ampliado.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$2.000.000</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Aumento de horas en módulo financiero (contabilidad de doble partida) por mayor complejidad contable de la que se estimó</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Alto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Estimación conservadora ya aplicada (+10 h vs. promedio). Revisar alcance con contador antes del Sprint 7.</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$1.500.000</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Incremento de precios en servicios cloud (Vercel, Turso) o cambio de planes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Monitoreo mensual de costos. Alertas de consumo configuradas. Alternativas documentadas (Supabase, Railway).</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$400.000</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Problemas de compatibilidad entre Astro 5 y el adaptador de Vercel en actualizaciones de versión</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Fijar versiones en package.json. Revisar changelogs antes de actualizar. Preview deployments para validar antes de producción.</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$500.000</w:t>
            </w:r>
          </w:p>
        </w:tc>
      </w:tr>
      <w:tr>
        <w:trPr/>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Más defectos de calidad de los previstos en integración con MercadoLibre (geocodificación, sincronización de órdenes)</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Medio</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Media</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Pruebas con datos reales en ambiente de staging. Suite de pruebas con Vitest + Playwright implementada en Sprint 12.</w:t>
            </w:r>
          </w:p>
        </w:tc>
        <w:tc>
          <w:tcPr>
            <w:tcW w:w="187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$1.500.000</w:t>
            </w:r>
          </w:p>
        </w:tc>
      </w:tr>
      <w:tr>
        <w:trPr/>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Sobrecosto en dominio .cafe o necesidad de dominios adicionales (.co, .com)</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Baja</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Presupuestar solo dobleyo.cafe inicialmente. Evaluar dominios adicionales según crecimiento.</w:t>
            </w:r>
          </w:p>
        </w:tc>
        <w:tc>
          <w:tcPr>
            <w:tcW w:w="1872"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$160.000</w:t>
            </w:r>
          </w:p>
        </w:tc>
      </w:tr>
      <w:tr>
        <w:trPr/>
        <w:tc>
          <w:tcPr>
            <w:tcW w:w="1872"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Total de reservas por riesgo</w:t>
            </w:r>
          </w:p>
        </w:tc>
        <w:tc>
          <w:tcPr>
            <w:tcW w:w="1872"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72" w:type="dxa"/>
            <w:tcBorders/>
            <w:shd w:color="auto" w:fill="DDE3E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$6.060.000</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La contingencia del 15 % calculada ($6.764.700) cubre holgadamente el total de reservas por riesgo identificadas ($6.060.000), confirmando que el porcentaje aplicado es adecuado para el perfil de riesgo del proyecto. Elaboración propia (2026).</w:t>
      </w:r>
    </w:p>
    <w:p>
      <w:pPr>
        <w:pStyle w:val="Normal"/>
        <w:spacing w:lineRule="auto" w:line="480" w:before="0" w:after="0"/>
        <w:jc w:val="left"/>
        <w:rPr/>
      </w:pPr>
      <w:r>
        <w:rPr>
          <w:rFonts w:ascii="Times New Roman" w:hAnsi="Times New Roman"/>
          <w:b/>
          <w:i w:val="false"/>
          <w:sz w:val="24"/>
        </w:rPr>
        <w:t>Plantilla 8. Conclusión de Viabilidad Económica</w:t>
      </w:r>
    </w:p>
    <w:p>
      <w:pPr>
        <w:pStyle w:val="Normal"/>
        <w:spacing w:lineRule="auto" w:line="480" w:before="0" w:after="0"/>
        <w:ind w:firstLine="720"/>
        <w:jc w:val="both"/>
        <w:rPr/>
      </w:pPr>
      <w:r>
        <w:rPr>
          <w:rFonts w:ascii="Times New Roman" w:hAnsi="Times New Roman"/>
          <w:b w:val="false"/>
          <w:i w:val="false"/>
          <w:sz w:val="24"/>
        </w:rPr>
        <w:t>El proyecto DobleYo Café es económicamente viable con un costo total estimado de $51.862.700 COP para doce sprints de desarrollo ejecutados en veinticuatro semanas. El mayor costo se concentra en el talento humano, que representa el 83,3 % del presupuesto total ($43.200.000 COP), ejecutado íntegramente por un desarrollador full-stack senior con tarifa de $80.000 por hora, quien asume los roles de Product Owner, desarrollador backend y frontend, Tester QA y DevOps.</w:t>
      </w:r>
    </w:p>
    <w:p>
      <w:pPr>
        <w:pStyle w:val="Normal"/>
        <w:spacing w:lineRule="auto" w:line="480" w:before="0" w:after="0"/>
        <w:ind w:firstLine="720"/>
        <w:jc w:val="both"/>
        <w:rPr/>
      </w:pPr>
      <w:r>
        <w:rPr>
          <w:rFonts w:ascii="Times New Roman" w:hAnsi="Times New Roman"/>
          <w:b w:val="false"/>
          <w:i w:val="false"/>
          <w:sz w:val="24"/>
        </w:rPr>
        <w:t>Los sprints de mayor inversión son S2 (Tienda online), S3 (App móvil de producción), S7 (Finanzas/contabilidad) y S11 (Admin/ERP), con costos individuales de $4.400.000 a $4.800.000, por tratarse de los módulos más complejos en lógica de negocio e integración.</w:t>
      </w:r>
    </w:p>
    <w:p>
      <w:pPr>
        <w:pStyle w:val="Normal"/>
        <w:spacing w:lineRule="auto" w:line="480" w:before="0" w:after="0"/>
        <w:ind w:firstLine="720"/>
        <w:jc w:val="both"/>
        <w:rPr/>
      </w:pPr>
      <w:r>
        <w:rPr>
          <w:rFonts w:ascii="Times New Roman" w:hAnsi="Times New Roman"/>
          <w:b w:val="false"/>
          <w:i w:val="false"/>
          <w:sz w:val="24"/>
        </w:rPr>
        <w:t>Los costos tecnológicos son moderados ($1.898.000 COP, equivalente al 3,7 % del presupuesto), gracias a la selección de servicios cloud con planes escalables de bajo costo: Vercel Pro para despliegue, Turso Scaler para la base de datos, Claude Pro como herramienta de desarrollo asistido por inteligencia artificial y GitHub Pro para el repositorio y CI/CD, con Resend en plan gratuito para correo transaccional.</w:t>
      </w:r>
    </w:p>
    <w:p>
      <w:pPr>
        <w:pStyle w:val="Normal"/>
        <w:spacing w:lineRule="auto" w:line="480" w:before="0" w:after="0"/>
        <w:ind w:firstLine="720"/>
        <w:jc w:val="both"/>
        <w:rPr/>
      </w:pPr>
      <w:r>
        <w:rPr>
          <w:rFonts w:ascii="Times New Roman" w:hAnsi="Times New Roman"/>
          <w:b w:val="false"/>
          <w:i w:val="false"/>
          <w:sz w:val="24"/>
        </w:rPr>
        <w:t>La contingencia del 15 % ($6.764.700 COP) está bien dimensionada para cubrir los principales riesgos identificados: cambios en las interfaces de programación de aplicaciones (API) de pasarelas de pago (Wompi, MercadoPago), mayor complejidad en el módulo contable de doble partida y posibles variaciones en costos de servicios cloud. El total de reservas por riesgo identificadas ($6.060.000 COP) es inferior a la contingencia calculada, lo que confirma que el porcentaje aplicado es adecuado para el perfil de riesgo del proyecto.</w:t>
      </w:r>
    </w:p>
    <w:p>
      <w:pPr>
        <w:pStyle w:val="Normal"/>
        <w:spacing w:lineRule="auto" w:line="480" w:before="0" w:after="0"/>
        <w:ind w:firstLine="720"/>
        <w:jc w:val="both"/>
        <w:rPr/>
      </w:pPr>
      <w:r>
        <w:rPr>
          <w:rFonts w:ascii="Times New Roman" w:hAnsi="Times New Roman"/>
          <w:b w:val="false"/>
          <w:i w:val="false"/>
          <w:sz w:val="24"/>
        </w:rPr>
        <w:t>A la fecha de elaboración de este documento (junio de 2026), el proyecto cuenta con ocho de doce fases completamente entregadas y en producción (F0, F1, F2, F4, F5, F6, F8 y F10), lo que valida tanto la viabilidad técnica como la disciplina de ejecución. La decisión de utilizar Turso sobre Supabase como motor de base de datos garantiza escalabilidad controlada sin costos variables impredecibles. En conclusión, el software es viable económicamente con el presupuesto estimado, el equipo disponible y la arquitectura tecnológica seleccionada.</w:t>
      </w:r>
    </w:p>
    <w:p>
      <w:pPr>
        <w:pStyle w:val="Normal"/>
        <w:spacing w:lineRule="auto" w:line="480" w:before="0" w:after="0"/>
        <w:jc w:val="left"/>
        <w:rPr/>
      </w:pPr>
      <w:r>
        <w:rPr>
          <w:rFonts w:ascii="Times New Roman" w:hAnsi="Times New Roman"/>
          <w:b/>
          <w:i/>
          <w:sz w:val="24"/>
        </w:rPr>
        <w:t>Lista de Verificación</w:t>
      </w:r>
    </w:p>
    <w:p>
      <w:pPr>
        <w:pStyle w:val="Normal"/>
        <w:spacing w:lineRule="auto" w:line="480" w:before="0" w:after="0"/>
        <w:jc w:val="left"/>
        <w:rPr/>
      </w:pPr>
      <w:r>
        <w:rPr>
          <w:rFonts w:ascii="Times New Roman" w:hAnsi="Times New Roman"/>
          <w:b/>
          <w:i w:val="false"/>
          <w:sz w:val="24"/>
        </w:rPr>
        <w:t>Tabla 10</w:t>
      </w:r>
      <w:r>
        <w:rPr/>
        <w:br/>
      </w:r>
      <w:r>
        <w:rPr>
          <w:rFonts w:ascii="Times New Roman" w:hAnsi="Times New Roman"/>
          <w:b w:val="false"/>
          <w:i/>
          <w:sz w:val="24"/>
        </w:rPr>
        <w:t>Lista de verificación de criterios de revisión del presupuesto</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Criterio de revisión</w:t>
            </w:r>
          </w:p>
        </w:tc>
        <w:tc>
          <w:tcPr>
            <w:tcW w:w="312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Cumple</w:t>
            </w:r>
          </w:p>
        </w:tc>
        <w:tc>
          <w:tcPr>
            <w:tcW w:w="3120" w:type="dxa"/>
            <w:tcBorders/>
            <w:shd w:color="auto" w:fill="2E4057"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color w:val="FFFFFF"/>
                <w:kern w:val="0"/>
                <w:sz w:val="20"/>
                <w:szCs w:val="22"/>
                <w:lang w:val="en-US" w:eastAsia="en-US" w:bidi="ar-SA"/>
              </w:rPr>
              <w:t>Observaciones</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El presupuesto está alineado con el Cronograma de Sprints</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Cada sprint tiene horas, costos y dependencias tecnológicas específicas.</w:t>
            </w:r>
          </w:p>
        </w:tc>
      </w:tr>
      <w:tr>
        <w:trPr/>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Cada costo tiene justificación y sprint asociado</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Plantillas 3 y 4 cruzan sprint, rol y justificación para cada ítem.</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Las tarifas y horas usadas son coherentes con el alcance</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$80.000/h corresponde al mercado colombiano para full-stack senior. 540 h = 22,5 h/sem × 24 semanas.</w:t>
            </w:r>
          </w:p>
        </w:tc>
      </w:tr>
      <w:tr>
        <w:trPr/>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 incluyen costos de herramientas, licencias e infraestructura</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Plantilla 4 detalla 6 conceptos tecnológicos con proveedor, sprint, cantidad y costo.</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Se calcula subtotal, contingencia y total del proyecto</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Plantilla 5: subtotal $45.098.000 + contingencia 15 % = total $51.862.700.</w:t>
            </w:r>
          </w:p>
        </w:tc>
      </w:tr>
      <w:tr>
        <w:trPr/>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El marco de negociación contempla soporte, seguridad, datos y pagos</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Plantilla 6: 8 criterios comparados entre Turso y Supabase con decisión documentada.</w:t>
            </w:r>
          </w:p>
        </w:tc>
      </w:tr>
      <w:tr>
        <w:trPr/>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 conclusión explica la viabilidad del software a construir</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Plantilla 8: análisis con costo total, sprints de mayor costo, riesgos, contingencia y condiciones negociadas.</w:t>
            </w:r>
          </w:p>
        </w:tc>
      </w:tr>
      <w:tr>
        <w:trPr/>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La bibliografía y evidencias de precios son verificables</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Sí</w:t>
            </w:r>
          </w:p>
        </w:tc>
        <w:tc>
          <w:tcPr>
            <w:tcW w:w="3120" w:type="dxa"/>
            <w:tcBorders/>
            <w:shd w:color="auto" w:fill="F2F5F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Tabla de evidencias con URLs oficiales de cada proveedor.</w:t>
            </w:r>
          </w:p>
        </w:tc>
      </w:tr>
    </w:tbl>
    <w:p>
      <w:pPr>
        <w:pStyle w:val="Normal"/>
        <w:spacing w:lineRule="auto" w:line="240" w:before="0" w:after="0"/>
        <w:jc w:val="left"/>
        <w:rPr/>
      </w:pPr>
      <w:r>
        <w:rPr>
          <w:rFonts w:ascii="Times New Roman" w:hAnsi="Times New Roman"/>
          <w:b w:val="false"/>
          <w:i/>
          <w:sz w:val="20"/>
        </w:rPr>
        <w:t xml:space="preserve">Nota. </w:t>
      </w:r>
      <w:r>
        <w:rPr>
          <w:rFonts w:ascii="Times New Roman" w:hAnsi="Times New Roman"/>
          <w:b w:val="false"/>
          <w:i w:val="false"/>
          <w:sz w:val="20"/>
        </w:rPr>
        <w:t>Elaboración propia (2026).</w:t>
      </w:r>
    </w:p>
    <w:p>
      <w:pPr>
        <w:pStyle w:val="Normal"/>
        <w:spacing w:lineRule="auto" w:line="480" w:before="0" w:after="0"/>
        <w:jc w:val="left"/>
        <w:rPr/>
      </w:pPr>
      <w:r>
        <w:rPr>
          <w:rFonts w:ascii="Times New Roman" w:hAnsi="Times New Roman"/>
          <w:b/>
          <w:i w:val="false"/>
          <w:sz w:val="24"/>
        </w:rPr>
        <w:t>Glosario</w:t>
      </w:r>
    </w:p>
    <w:p>
      <w:pPr>
        <w:pStyle w:val="Normal"/>
        <w:spacing w:lineRule="auto" w:line="480" w:before="0" w:after="0"/>
        <w:ind w:firstLine="720"/>
        <w:jc w:val="both"/>
        <w:rPr/>
      </w:pPr>
      <w:r>
        <w:rPr>
          <w:rFonts w:ascii="Times New Roman" w:hAnsi="Times New Roman"/>
          <w:b/>
          <w:i/>
          <w:sz w:val="24"/>
        </w:rPr>
        <w:t xml:space="preserve">Presupuesto de elaboración. </w:t>
      </w:r>
      <w:r>
        <w:rPr>
          <w:rFonts w:ascii="Times New Roman" w:hAnsi="Times New Roman"/>
          <w:b w:val="false"/>
          <w:i w:val="false"/>
          <w:sz w:val="24"/>
        </w:rPr>
        <w:t>Estimación de los recursos económicos para construir los 12 módulos del sistema DobleYo Café.</w:t>
      </w:r>
    </w:p>
    <w:p>
      <w:pPr>
        <w:pStyle w:val="Normal"/>
        <w:spacing w:lineRule="auto" w:line="480" w:before="0" w:after="0"/>
        <w:ind w:firstLine="720"/>
        <w:jc w:val="both"/>
        <w:rPr/>
      </w:pPr>
      <w:r>
        <w:rPr>
          <w:rFonts w:ascii="Times New Roman" w:hAnsi="Times New Roman"/>
          <w:b/>
          <w:i/>
          <w:sz w:val="24"/>
        </w:rPr>
        <w:t xml:space="preserve">Sprint. </w:t>
      </w:r>
      <w:r>
        <w:rPr>
          <w:rFonts w:ascii="Times New Roman" w:hAnsi="Times New Roman"/>
          <w:b w:val="false"/>
          <w:i w:val="false"/>
          <w:sz w:val="24"/>
        </w:rPr>
        <w:t>Periodo de dos semanas con un objetivo específico, entregables verificables y dependencias tecnológicas definidas.</w:t>
      </w:r>
    </w:p>
    <w:p>
      <w:pPr>
        <w:pStyle w:val="Normal"/>
        <w:spacing w:lineRule="auto" w:line="480" w:before="0" w:after="0"/>
        <w:ind w:firstLine="720"/>
        <w:jc w:val="both"/>
        <w:rPr/>
      </w:pPr>
      <w:r>
        <w:rPr>
          <w:rFonts w:ascii="Times New Roman" w:hAnsi="Times New Roman"/>
          <w:b/>
          <w:i/>
          <w:sz w:val="24"/>
        </w:rPr>
        <w:t xml:space="preserve">Entregable. </w:t>
      </w:r>
      <w:r>
        <w:rPr>
          <w:rFonts w:ascii="Times New Roman" w:hAnsi="Times New Roman"/>
          <w:b w:val="false"/>
          <w:i w:val="false"/>
          <w:sz w:val="24"/>
        </w:rPr>
        <w:t>Resultado funcional producido al finalizar el sprint (por ejemplo, checkout operativo, pipeline de producción completo).</w:t>
      </w:r>
    </w:p>
    <w:p>
      <w:pPr>
        <w:pStyle w:val="Normal"/>
        <w:spacing w:lineRule="auto" w:line="480" w:before="0" w:after="0"/>
        <w:ind w:firstLine="720"/>
        <w:jc w:val="both"/>
        <w:rPr/>
      </w:pPr>
      <w:r>
        <w:rPr>
          <w:rFonts w:ascii="Times New Roman" w:hAnsi="Times New Roman"/>
          <w:b/>
          <w:i/>
          <w:sz w:val="24"/>
        </w:rPr>
        <w:t xml:space="preserve">Talento humano. </w:t>
      </w:r>
      <w:r>
        <w:rPr>
          <w:rFonts w:ascii="Times New Roman" w:hAnsi="Times New Roman"/>
          <w:b w:val="false"/>
          <w:i w:val="false"/>
          <w:sz w:val="24"/>
        </w:rPr>
        <w:t>Costo del tiempo del desarrollador full-stack Mike Rodríguez en cada área funcional del sprint.</w:t>
      </w:r>
    </w:p>
    <w:p>
      <w:pPr>
        <w:pStyle w:val="Normal"/>
        <w:spacing w:lineRule="auto" w:line="480" w:before="0" w:after="0"/>
        <w:ind w:firstLine="720"/>
        <w:jc w:val="both"/>
        <w:rPr/>
      </w:pPr>
      <w:r>
        <w:rPr>
          <w:rFonts w:ascii="Times New Roman" w:hAnsi="Times New Roman"/>
          <w:b/>
          <w:i/>
          <w:sz w:val="24"/>
        </w:rPr>
        <w:t xml:space="preserve">Contingencia. </w:t>
      </w:r>
      <w:r>
        <w:rPr>
          <w:rFonts w:ascii="Times New Roman" w:hAnsi="Times New Roman"/>
          <w:b w:val="false"/>
          <w:i w:val="false"/>
          <w:sz w:val="24"/>
        </w:rPr>
        <w:t>Reserva del 15 % sobre el subtotal para cubrir cambios de alcance, errores de estimación y riesgos tecnológicos.</w:t>
      </w:r>
    </w:p>
    <w:p>
      <w:pPr>
        <w:pStyle w:val="Normal"/>
        <w:spacing w:lineRule="auto" w:line="480" w:before="0" w:after="0"/>
        <w:ind w:firstLine="720"/>
        <w:jc w:val="both"/>
        <w:rPr/>
      </w:pPr>
      <w:r>
        <w:rPr>
          <w:rFonts w:ascii="Times New Roman" w:hAnsi="Times New Roman"/>
          <w:b/>
          <w:i/>
          <w:sz w:val="24"/>
        </w:rPr>
        <w:t xml:space="preserve">SLA (Service Level Agreement). </w:t>
      </w:r>
      <w:r>
        <w:rPr>
          <w:rFonts w:ascii="Times New Roman" w:hAnsi="Times New Roman"/>
          <w:b w:val="false"/>
          <w:i w:val="false"/>
          <w:sz w:val="24"/>
        </w:rPr>
        <w:t>Acuerdo de nivel de servicio; en Vercel y Turso define el 99,9 % de disponibilidad garantizada.</w:t>
      </w:r>
    </w:p>
    <w:p>
      <w:pPr>
        <w:pStyle w:val="Normal"/>
        <w:spacing w:lineRule="auto" w:line="480" w:before="0" w:after="0"/>
        <w:ind w:firstLine="720"/>
        <w:jc w:val="both"/>
        <w:rPr/>
      </w:pPr>
      <w:r>
        <w:rPr>
          <w:rFonts w:ascii="Times New Roman" w:hAnsi="Times New Roman"/>
          <w:b/>
          <w:i/>
          <w:sz w:val="24"/>
        </w:rPr>
        <w:t xml:space="preserve">Licenciamiento. </w:t>
      </w:r>
      <w:r>
        <w:rPr>
          <w:rFonts w:ascii="Times New Roman" w:hAnsi="Times New Roman"/>
          <w:b w:val="false"/>
          <w:i w:val="false"/>
          <w:sz w:val="24"/>
        </w:rPr>
        <w:t>Condiciones de uso de cada herramienta (mensual, cancelable, sin contrato mínimo).</w:t>
      </w:r>
    </w:p>
    <w:p>
      <w:pPr>
        <w:pStyle w:val="Normal"/>
        <w:spacing w:lineRule="auto" w:line="480" w:before="0" w:after="0"/>
        <w:ind w:firstLine="720"/>
        <w:jc w:val="both"/>
        <w:rPr/>
      </w:pPr>
      <w:r>
        <w:rPr>
          <w:rFonts w:ascii="Times New Roman" w:hAnsi="Times New Roman"/>
          <w:b/>
          <w:i/>
          <w:sz w:val="24"/>
        </w:rPr>
        <w:t xml:space="preserve">TCO (Total Cost of Ownership). </w:t>
      </w:r>
      <w:r>
        <w:rPr>
          <w:rFonts w:ascii="Times New Roman" w:hAnsi="Times New Roman"/>
          <w:b w:val="false"/>
          <w:i w:val="false"/>
          <w:sz w:val="24"/>
        </w:rPr>
        <w:t>Costo total de propiedad: incluye talento, suscripciones, dominio y contingencia durante 6 meses de desarrollo.</w:t>
      </w:r>
    </w:p>
    <w:p>
      <w:pPr>
        <w:pStyle w:val="Normal"/>
        <w:spacing w:lineRule="auto" w:line="480" w:before="0" w:after="0"/>
        <w:ind w:firstLine="720"/>
        <w:jc w:val="both"/>
        <w:rPr/>
      </w:pPr>
      <w:r>
        <w:rPr>
          <w:rFonts w:ascii="Times New Roman" w:hAnsi="Times New Roman"/>
          <w:b/>
          <w:i/>
          <w:sz w:val="24"/>
        </w:rPr>
        <w:t xml:space="preserve">Negociación tecnológica. </w:t>
      </w:r>
      <w:r>
        <w:rPr>
          <w:rFonts w:ascii="Times New Roman" w:hAnsi="Times New Roman"/>
          <w:b w:val="false"/>
          <w:i w:val="false"/>
          <w:sz w:val="24"/>
        </w:rPr>
        <w:t>Proceso de evaluación y selección de Turso sobre Supabase basado en 8 criterios técnicos, económicos y operativos.</w:t>
      </w:r>
    </w:p>
    <w:p>
      <w:pPr>
        <w:pStyle w:val="Normal"/>
        <w:spacing w:lineRule="auto" w:line="480" w:before="0" w:after="0"/>
        <w:ind w:firstLine="720"/>
        <w:jc w:val="both"/>
        <w:rPr/>
      </w:pPr>
      <w:r>
        <w:rPr>
          <w:rFonts w:ascii="Times New Roman" w:hAnsi="Times New Roman"/>
          <w:b/>
          <w:i/>
          <w:sz w:val="24"/>
        </w:rPr>
        <w:t xml:space="preserve">libSQL / SQLite. </w:t>
      </w:r>
      <w:r>
        <w:rPr>
          <w:rFonts w:ascii="Times New Roman" w:hAnsi="Times New Roman"/>
          <w:b w:val="false"/>
          <w:i w:val="false"/>
          <w:sz w:val="24"/>
        </w:rPr>
        <w:t>Motor de base de datos de Turso, compatible con SQLite estándar y distribuido en nodos edge globales.</w:t>
      </w:r>
    </w:p>
    <w:p>
      <w:pPr>
        <w:pStyle w:val="Normal"/>
        <w:spacing w:lineRule="auto" w:line="480" w:before="0" w:after="0"/>
        <w:ind w:firstLine="720"/>
        <w:jc w:val="both"/>
        <w:rPr/>
      </w:pPr>
      <w:r>
        <w:rPr>
          <w:rFonts w:ascii="Times New Roman" w:hAnsi="Times New Roman"/>
          <w:b/>
          <w:i/>
          <w:sz w:val="24"/>
        </w:rPr>
        <w:t xml:space="preserve">SSR (Server-Side Rendering). </w:t>
      </w:r>
      <w:r>
        <w:rPr>
          <w:rFonts w:ascii="Times New Roman" w:hAnsi="Times New Roman"/>
          <w:b w:val="false"/>
          <w:i w:val="false"/>
          <w:sz w:val="24"/>
        </w:rPr>
        <w:t>Técnica usada con Astro 5 para generar HTML en el servidor, mejorando el SEO y el rendimiento de carga inicial.</w:t>
      </w:r>
    </w:p>
    <w:p>
      <w:pPr>
        <w:pStyle w:val="Normal"/>
        <w:spacing w:lineRule="auto" w:line="480" w:before="0" w:after="0"/>
        <w:ind w:firstLine="720"/>
        <w:jc w:val="both"/>
        <w:rPr/>
      </w:pPr>
      <w:r>
        <w:rPr>
          <w:rFonts w:ascii="Times New Roman" w:hAnsi="Times New Roman"/>
          <w:b/>
          <w:i/>
          <w:sz w:val="24"/>
        </w:rPr>
        <w:t xml:space="preserve">Edge. </w:t>
      </w:r>
      <w:r>
        <w:rPr>
          <w:rFonts w:ascii="Times New Roman" w:hAnsi="Times New Roman"/>
          <w:b w:val="false"/>
          <w:i w:val="false"/>
          <w:sz w:val="24"/>
        </w:rPr>
        <w:t>Infraestructura distribuida geográficamente que ejecuta funciones cerca del usuario final, reduciendo la latencia.</w:t>
      </w:r>
    </w:p>
    <w:p>
      <w:pPr>
        <w:pStyle w:val="Normal"/>
        <w:rPr/>
      </w:pPr>
      <w:r>
        <w:rPr/>
      </w:r>
      <w:r>
        <w:br w:type="page"/>
      </w:r>
    </w:p>
    <w:p>
      <w:pPr>
        <w:pStyle w:val="Normal"/>
        <w:spacing w:lineRule="auto" w:line="480" w:before="0" w:after="0"/>
        <w:jc w:val="center"/>
        <w:rPr/>
      </w:pPr>
      <w:r>
        <w:rPr>
          <w:rFonts w:ascii="Times New Roman" w:hAnsi="Times New Roman"/>
          <w:b/>
          <w:i w:val="false"/>
          <w:sz w:val="24"/>
        </w:rPr>
        <w:t>Referencias</w:t>
      </w:r>
    </w:p>
    <w:p>
      <w:pPr>
        <w:pStyle w:val="Normal"/>
        <w:spacing w:lineRule="auto" w:line="480" w:before="0" w:after="0"/>
        <w:ind w:hanging="720" w:left="720"/>
        <w:jc w:val="both"/>
        <w:rPr/>
      </w:pPr>
      <w:r>
        <w:rPr>
          <w:rFonts w:ascii="Times New Roman" w:hAnsi="Times New Roman"/>
          <w:b w:val="false"/>
          <w:i w:val="false"/>
          <w:sz w:val="24"/>
        </w:rPr>
        <w:t>American Psychological Association. (2020). Publication manual of the American Psychological Association (7.ª ed.). https://doi.org/10.1037/0000165-000</w:t>
      </w:r>
    </w:p>
    <w:p>
      <w:pPr>
        <w:pStyle w:val="Normal"/>
        <w:spacing w:lineRule="auto" w:line="480" w:before="0" w:after="0"/>
        <w:ind w:hanging="720" w:left="720"/>
        <w:jc w:val="both"/>
        <w:rPr/>
      </w:pPr>
      <w:r>
        <w:rPr>
          <w:rFonts w:ascii="Times New Roman" w:hAnsi="Times New Roman"/>
          <w:b w:val="false"/>
          <w:i w:val="false"/>
          <w:sz w:val="24"/>
        </w:rPr>
        <w:t>Anthropic. (2026). Claude Pro: Pricing. https://anthropic.com/claude/pricing</w:t>
      </w:r>
    </w:p>
    <w:p>
      <w:pPr>
        <w:pStyle w:val="Normal"/>
        <w:spacing w:lineRule="auto" w:line="480" w:before="0" w:after="0"/>
        <w:ind w:hanging="720" w:left="720"/>
        <w:jc w:val="both"/>
        <w:rPr/>
      </w:pPr>
      <w:r>
        <w:rPr>
          <w:rFonts w:ascii="Times New Roman" w:hAnsi="Times New Roman"/>
          <w:b w:val="false"/>
          <w:i w:val="false"/>
          <w:sz w:val="24"/>
        </w:rPr>
        <w:t>Astro. (2025). Astro documentation (v5.16). https://docs.astro.build</w:t>
      </w:r>
    </w:p>
    <w:p>
      <w:pPr>
        <w:pStyle w:val="Normal"/>
        <w:spacing w:lineRule="auto" w:line="480" w:before="0" w:after="0"/>
        <w:ind w:hanging="720" w:left="720"/>
        <w:jc w:val="both"/>
        <w:rPr/>
      </w:pPr>
      <w:r>
        <w:rPr>
          <w:rFonts w:ascii="Times New Roman" w:hAnsi="Times New Roman"/>
          <w:b w:val="false"/>
          <w:i w:val="false"/>
          <w:sz w:val="24"/>
        </w:rPr>
        <w:t>Cloudflare. (2026). Domain registrar: .cafe TLD pricing. https://www.cloudflare.com/products/registrar/</w:t>
      </w:r>
    </w:p>
    <w:p>
      <w:pPr>
        <w:pStyle w:val="Normal"/>
        <w:spacing w:lineRule="auto" w:line="480" w:before="0" w:after="0"/>
        <w:ind w:hanging="720" w:left="720"/>
        <w:jc w:val="both"/>
        <w:rPr/>
      </w:pPr>
      <w:r>
        <w:rPr>
          <w:rFonts w:ascii="Times New Roman" w:hAnsi="Times New Roman"/>
          <w:b w:val="false"/>
          <w:i w:val="false"/>
          <w:sz w:val="24"/>
        </w:rPr>
        <w:t>Express.js. (2024). Express 4.x API reference. https://expressjs.com/en/4x/api.html</w:t>
      </w:r>
    </w:p>
    <w:p>
      <w:pPr>
        <w:pStyle w:val="Normal"/>
        <w:spacing w:lineRule="auto" w:line="480" w:before="0" w:after="0"/>
        <w:ind w:hanging="720" w:left="720"/>
        <w:jc w:val="both"/>
        <w:rPr/>
      </w:pPr>
      <w:r>
        <w:rPr>
          <w:rFonts w:ascii="Times New Roman" w:hAnsi="Times New Roman"/>
          <w:b w:val="false"/>
          <w:i w:val="false"/>
          <w:sz w:val="24"/>
        </w:rPr>
        <w:t>GitHub. (2026). GitHub pricing: Pro plan. https://github.com/pricing</w:t>
      </w:r>
    </w:p>
    <w:p>
      <w:pPr>
        <w:pStyle w:val="Normal"/>
        <w:spacing w:lineRule="auto" w:line="480" w:before="0" w:after="0"/>
        <w:ind w:hanging="720" w:left="720"/>
        <w:jc w:val="both"/>
        <w:rPr/>
      </w:pPr>
      <w:r>
        <w:rPr>
          <w:rFonts w:ascii="Times New Roman" w:hAnsi="Times New Roman"/>
          <w:b w:val="false"/>
          <w:i w:val="false"/>
          <w:sz w:val="24"/>
        </w:rPr>
        <w:t>Resend. (2026). Pricing: Free plan. https://resend.com/pricing</w:t>
      </w:r>
    </w:p>
    <w:p>
      <w:pPr>
        <w:pStyle w:val="Normal"/>
        <w:spacing w:lineRule="auto" w:line="480" w:before="0" w:after="0"/>
        <w:ind w:hanging="720" w:left="720"/>
        <w:jc w:val="both"/>
        <w:rPr/>
      </w:pPr>
      <w:r>
        <w:rPr>
          <w:rFonts w:ascii="Times New Roman" w:hAnsi="Times New Roman"/>
          <w:b w:val="false"/>
          <w:i w:val="false"/>
          <w:sz w:val="24"/>
        </w:rPr>
        <w:t>Servicio Nacional de Aprendizaje (SENA). (2025). Guía de aprendizaje — Negociación tecnológica: Presupuesto de elaboración de software. SENA, Centro de Gestión de Mercados, Logística y Tecnologías de la Información.</w:t>
      </w:r>
    </w:p>
    <w:p>
      <w:pPr>
        <w:pStyle w:val="Normal"/>
        <w:spacing w:lineRule="auto" w:line="480" w:before="0" w:after="0"/>
        <w:ind w:hanging="720" w:left="720"/>
        <w:jc w:val="both"/>
        <w:rPr/>
      </w:pPr>
      <w:r>
        <w:rPr>
          <w:rFonts w:ascii="Times New Roman" w:hAnsi="Times New Roman"/>
          <w:b w:val="false"/>
          <w:i w:val="false"/>
          <w:sz w:val="24"/>
        </w:rPr>
        <w:t>Turso. (2026). Turso pricing: Scaler plan. https://turso.tech/pricing</w:t>
      </w:r>
    </w:p>
    <w:p>
      <w:pPr>
        <w:pStyle w:val="Normal"/>
        <w:spacing w:lineRule="auto" w:line="480" w:before="0" w:after="0"/>
        <w:ind w:hanging="720" w:left="720"/>
        <w:jc w:val="both"/>
        <w:rPr/>
      </w:pPr>
      <w:r>
        <w:rPr>
          <w:rFonts w:ascii="Times New Roman" w:hAnsi="Times New Roman"/>
          <w:b w:val="false"/>
          <w:i w:val="false"/>
          <w:sz w:val="24"/>
        </w:rPr>
        <w:t>Vercel. (2026). Vercel pricing: Pro plan. https://vercel.com/pricing</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16</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16</Pages>
  <Words>3461</Words>
  <Characters>20441</Characters>
  <CharactersWithSpaces>23358</CharactersWithSpaces>
  <Paragraphs>579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2026-06-22T16:15:46Z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