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Calibri" w:hAnsi="Calibri"/>
          <w:b/>
          <w:caps/>
          <w:color w:val="0891B2"/>
          <w:sz w:val="20"/>
        </w:rPr>
        <w:t>BARRIE TRANSIT</w:t>
      </w:r>
    </w:p>
    <w:p>
      <w:pPr>
        <w:spacing w:after="160"/>
      </w:pPr>
      <w:r>
        <w:rPr>
          <w:rFonts w:ascii="Calibri" w:hAnsi="Calibri"/>
          <w:b/>
          <w:color w:val="071B4D"/>
          <w:sz w:val="62"/>
        </w:rPr>
        <w:t>2027–2032 Strategic Plan</w:t>
      </w:r>
    </w:p>
    <w:p>
      <w:pPr>
        <w:spacing w:after="440"/>
      </w:pPr>
      <w:r>
        <w:rPr>
          <w:rFonts w:ascii="Calibri" w:hAnsi="Calibri"/>
          <w:b/>
          <w:color w:val="001C80"/>
          <w:sz w:val="44"/>
        </w:rPr>
        <w:t>Workspace Summary</w:t>
      </w:r>
    </w:p>
    <w:p>
      <w:pPr>
        <w:spacing w:after="440"/>
        <w:pBdr>
          <w:bottom w:val="single" w:sz="24" w:color="0891B2"/>
        </w:pBdr>
      </w:pPr>
    </w:p>
    <w:p>
      <w:pPr>
        <w:spacing w:after="160"/>
      </w:pPr>
      <w:r>
        <w:rPr>
          <w:rFonts w:ascii="Calibri" w:hAnsi="Calibri"/>
          <w:color w:val="475569"/>
          <w:sz w:val="28"/>
        </w:rPr>
        <w:t>A working-team snapshot of six Strategic Plan workspaces</w:t>
      </w:r>
    </w:p>
    <w:p>
      <w:pPr>
        <w:spacing w:after="80"/>
      </w:pPr>
      <w:r>
        <w:rPr>
          <w:rFonts w:ascii="Calibri" w:hAnsi="Calibri"/>
          <w:color w:val="475569"/>
          <w:sz w:val="21"/>
        </w:rPr>
        <w:t>Captured from the authenticated Barrie Transit workspace on September 2, 2026</w:t>
      </w:r>
    </w:p>
    <w:p>
      <w:pPr>
        <w:spacing w:before="3400"/>
      </w:pPr>
      <w:r>
        <w:rPr>
          <w:rFonts w:ascii="Calibri" w:hAnsi="Calibri"/>
          <w:b/>
          <w:caps/>
          <w:color w:val="001C80"/>
          <w:sz w:val="18"/>
        </w:rPr>
        <w:t>INTERNAL WORKING DOCUMENT</w:t>
      </w:r>
    </w:p>
    <w:p>
      <w:pPr>
        <w:sectPr>
          <w:pgSz w:w="12240" w:h="15840"/>
          <w:pgMar w:top="1080" w:right="1224" w:bottom="1080" w:left="1224" w:header="461" w:footer="461" w:gutter="0"/>
          <w:cols w:space="720"/>
          <w:titlePg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001C80"/>
          <w:sz w:val="17"/>
        </w:rPr>
        <w:t>REPORT GUIDE</w:t>
      </w:r>
    </w:p>
    <w:p>
      <w:pPr>
        <w:pStyle w:val="Heading1"/>
      </w:pPr>
      <w:r>
        <w:t>Contents and reading notes</w:t>
      </w:r>
    </w:p>
    <w:p>
      <w:pPr>
        <w:spacing w:before="80" w:after="160" w:line="276" w:lineRule="auto"/>
      </w:pPr>
      <w:r>
        <w:t>This report selects one summary table or graph from each workspace. It preserves the source definitions and limitations shown in the application; it is not a new analytical model or an approval record.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80"/>
        <w:gridCol w:w="7056"/>
        <w:gridCol w:w="1224"/>
      </w:tblGrid>
      <w:tr>
        <w:trPr>
          <w:tblHeader w:val="true"/>
        </w:trPr>
        <w:tc>
          <w:tcPr>
            <w:tcW w:type="dxa" w:w="108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705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Workspace</w:t>
            </w:r>
          </w:p>
        </w:tc>
        <w:tc>
          <w:tcPr>
            <w:tcW w:type="dxa" w:w="122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Page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1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Project Work Plan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</w:t>
            </w:r>
          </w:p>
        </w:tc>
      </w:tr>
      <w:tr>
        <w:tc>
          <w:tcPr>
            <w:tcW w:type="dxa" w:w="108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</w:t>
            </w:r>
          </w:p>
        </w:tc>
        <w:tc>
          <w:tcPr>
            <w:tcW w:type="dxa" w:w="70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Current Scheduled Service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3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Trip Planning Trends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</w:t>
            </w:r>
          </w:p>
        </w:tc>
      </w:tr>
      <w:tr>
        <w:tc>
          <w:tcPr>
            <w:tcW w:type="dxa" w:w="108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4</w:t>
            </w:r>
          </w:p>
        </w:tc>
        <w:tc>
          <w:tcPr>
            <w:tcW w:type="dxa" w:w="70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Annual Ridership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5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Bus Fleet Plan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108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6</w:t>
            </w:r>
          </w:p>
        </w:tc>
        <w:tc>
          <w:tcPr>
            <w:tcW w:type="dxa" w:w="70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Published Route Schedules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Evidence definitions and source register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Freshness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All values were read from the signed-in production workspace on the capture date. No demo values, local fallback estimates, or copied datasets were used.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How to use this report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Use the visuals as a common working reference. Return to the source workspace before making a decision that depends on current status, newly published schedules, daily ridership, or revised fleet assumptions.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224" w:bottom="1080" w:left="1224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0891B2"/>
          <w:sz w:val="17"/>
        </w:rPr>
        <w:t>1 · PROJECT CONTROL</w:t>
      </w:r>
    </w:p>
    <w:p>
      <w:pPr>
        <w:pStyle w:val="Heading1"/>
      </w:pPr>
      <w:r>
        <w:t>Project Work Plan</w:t>
      </w:r>
    </w:p>
    <w:p>
      <w:pPr>
        <w:spacing w:before="80" w:after="160" w:line="276" w:lineRule="auto"/>
      </w:pPr>
      <w:r>
        <w:t>The shared work plan contains 73 tasks across four phases. This roll-up shows the baseline timing and current status recorded in revision 1.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Shared revision 1 · Dillon Consulting Limited work plan dated June 16, 2026 · baseline window August 3, 2026 to September 27, 2027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456"/>
        <w:gridCol w:w="2376"/>
        <w:gridCol w:w="864"/>
        <w:gridCol w:w="1152"/>
        <w:gridCol w:w="1152"/>
        <w:gridCol w:w="1080"/>
        <w:gridCol w:w="1368"/>
        <w:gridCol w:w="936"/>
        <w:gridCol w:w="1152"/>
      </w:tblGrid>
      <w:tr>
        <w:trPr>
          <w:tblHeader w:val="true"/>
        </w:trPr>
        <w:tc>
          <w:tcPr>
            <w:tcW w:type="dxa" w:w="345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37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Baseline window</w:t>
            </w:r>
          </w:p>
        </w:tc>
        <w:tc>
          <w:tcPr>
            <w:tcW w:type="dxa" w:w="86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115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Avg. progress</w:t>
            </w:r>
          </w:p>
        </w:tc>
        <w:tc>
          <w:tcPr>
            <w:tcW w:type="dxa" w:w="115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Unconfirmed</w:t>
            </w:r>
          </w:p>
        </w:tc>
        <w:tc>
          <w:tcPr>
            <w:tcW w:type="dxa" w:w="108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 progress</w:t>
            </w:r>
          </w:p>
        </w:tc>
        <w:tc>
          <w:tcPr>
            <w:tcW w:type="dxa" w:w="1368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 risk / blocked</w:t>
            </w:r>
          </w:p>
        </w:tc>
        <w:tc>
          <w:tcPr>
            <w:tcW w:type="dxa" w:w="93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Complete</w:t>
            </w:r>
          </w:p>
        </w:tc>
        <w:tc>
          <w:tcPr>
            <w:tcW w:type="dxa" w:w="115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Unscheduled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Project Initiation and Data Collection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Aug 3, 2026–Sep 6, 2027</w:t>
            </w:r>
          </w:p>
        </w:tc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0%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34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Stakeholder Engagement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Aug 10, 2026–Jun 7, 2027</w:t>
            </w:r>
          </w:p>
        </w:tc>
        <w:tc>
          <w:tcPr>
            <w:tcW w:type="dxa" w:w="8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0%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08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36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Strategic Plan Development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Aug 17, 2026–Jul 12, 2027</w:t>
            </w:r>
          </w:p>
        </w:tc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0%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34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Report Production and Finalization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Jul 19, 2027–Sep 27, 2027</w:t>
            </w:r>
          </w:p>
        </w:tc>
        <w:tc>
          <w:tcPr>
            <w:tcW w:type="dxa" w:w="8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0%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8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36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456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TOTAL</w:t>
            </w:r>
          </w:p>
        </w:tc>
        <w:tc>
          <w:tcPr>
            <w:tcW w:type="dxa" w:w="2376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Aug 3, 2026–Sep 27, 2027</w:t>
            </w:r>
          </w:p>
        </w:tc>
        <w:tc>
          <w:tcPr>
            <w:tcW w:type="dxa" w:w="864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73</w:t>
            </w:r>
          </w:p>
        </w:tc>
        <w:tc>
          <w:tcPr>
            <w:tcW w:type="dxa" w:w="1152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0%</w:t>
            </w:r>
          </w:p>
        </w:tc>
        <w:tc>
          <w:tcPr>
            <w:tcW w:type="dxa" w:w="1152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73</w:t>
            </w:r>
          </w:p>
        </w:tc>
        <w:tc>
          <w:tcPr>
            <w:tcW w:type="dxa" w:w="1080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0</w:t>
            </w:r>
          </w:p>
        </w:tc>
        <w:tc>
          <w:tcPr>
            <w:tcW w:type="dxa" w:w="1368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0</w:t>
            </w:r>
          </w:p>
        </w:tc>
        <w:tc>
          <w:tcPr>
            <w:tcW w:type="dxa" w:w="936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0</w:t>
            </w:r>
          </w:p>
        </w:tc>
        <w:tc>
          <w:tcPr>
            <w:tcW w:type="dxa" w:w="1152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2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1. Project Work Plan status by phase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968"/>
      </w:tblGrid>
      <w:tr>
        <w:tc>
          <w:tcPr>
            <w:tcW w:type="dxa" w:w="13968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All 73 tasks remain Unconfirmed at 0% progress. The proposal establishes timing and proposed responsibility, not current completion. Two rows are unscheduled in the source.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008" w:right="936" w:bottom="936" w:left="936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2563EB"/>
          <w:sz w:val="17"/>
        </w:rPr>
        <w:t>2 · EXISTING SERVICE BASELINE</w:t>
      </w:r>
    </w:p>
    <w:p>
      <w:pPr>
        <w:pStyle w:val="Heading1"/>
      </w:pPr>
      <w:r>
        <w:t>Current Scheduled Service — Weekday</w:t>
      </w:r>
    </w:p>
    <w:p>
      <w:pPr>
        <w:spacing w:before="80" w:after="160" w:line="276" w:lineRule="auto"/>
      </w:pPr>
      <w:r>
        <w:t>This table summarizes the weekday service span, sustained peak and off-peak frequency regimes, and scheduled revenue hours for each route family in the bundled static GTFS snapshot.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Barrie Transit static GTFS version 20260503b · feed validity May 27 to August 29, 2026</w:t>
      </w:r>
    </w:p>
    <w:tbl>
      <w:tblPr>
        <w:tblStyle w:val="TableGrid"/>
        <w:tblW w:type="dxa" w:w="13968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"/>
        <w:gridCol w:w="2664"/>
        <w:gridCol w:w="2232"/>
        <w:gridCol w:w="2664"/>
        <w:gridCol w:w="4320"/>
        <w:gridCol w:w="1152"/>
      </w:tblGrid>
      <w:tr>
        <w:trPr>
          <w:tblHeader w:val="true"/>
        </w:trPr>
        <w:tc>
          <w:tcPr>
            <w:tcW w:type="dxa" w:w="93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66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Route name</w:t>
            </w:r>
          </w:p>
        </w:tc>
        <w:tc>
          <w:tcPr>
            <w:tcW w:type="dxa" w:w="223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Service span</w:t>
            </w:r>
          </w:p>
        </w:tc>
        <w:tc>
          <w:tcPr>
            <w:tcW w:type="dxa" w:w="266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Peak frequency and span</w:t>
            </w:r>
          </w:p>
        </w:tc>
        <w:tc>
          <w:tcPr>
            <w:tcW w:type="dxa" w:w="432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Off-peak frequency and span</w:t>
            </w:r>
          </w:p>
        </w:tc>
        <w:tc>
          <w:tcPr>
            <w:tcW w:type="dxa" w:w="115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Revenue hours / day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400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EXPRESS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6:45 AM–6:45 PM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6:45 AM–6:15 PM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19.1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100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RED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7:00 AM–11:00 PM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25 min</w:t>
              <w:br/>
              <w:t>7:00 AM–9:45 PM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41 min</w:t>
              <w:br/>
              <w:t>10:30 PM–11:00 PM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27.4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101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BLUE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7:00 AM–10:45 PM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25 min</w:t>
              <w:br/>
              <w:t>7:00 AM–9:15 PM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41 min</w:t>
              <w:br/>
              <w:t>10:00 PM–10:45 PM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26.6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2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DUNLOP / PARK PLACE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5:30 AM–11:45 PM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5:45 AM–7:45 PM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7:45 PM–11:00 PM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39.6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7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GROVE / BEAR CREEK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5:30 AM–12:30 AM (+1)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5:30 AM–7:30 PM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7:30 PM–10:30 PM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61.5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8A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RVH/YONGE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4:30 AM–12:45 AM (+1)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5:00 AM–6:15 PM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6:15 PM–11:45 PM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76.6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8B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Crosstown/Essa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4:45 AM–12:30 AM (+1)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5:45 AM–6:00 PM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5:15 AM–5:45 AM; 6:00 PM–12:30 AM (+1)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73.4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NORTH LOOP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5:45 AM–12:30 AM (+1)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5:45 AM–9:15 PM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9:45 PM–11:45 PM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32.3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11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NORTH LOOP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5:00 AM–12:00 AM (+1)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 min</w:t>
              <w:br/>
              <w:t>6:00 AM–10:00 PM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60 min</w:t>
              <w:br/>
              <w:t>10:00 PM–11:00 PM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32.5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12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GEORGIAN MALL / BARRIE SOUTH GO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5:15 AM–12:30 AM (+1)</w:t>
            </w:r>
          </w:p>
        </w:tc>
        <w:tc>
          <w:tcPr>
            <w:tcW w:type="dxa" w:w="266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35 min</w:t>
              <w:br/>
              <w:t>5:15 AM–9:00 PM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50 min</w:t>
              <w:br/>
              <w:t>9:00 PM–11:30 PM</w:t>
            </w:r>
          </w:p>
        </w:tc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65.9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2. Current scheduled weekday service route summaries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968"/>
      </w:tblGrid>
      <w:tr>
        <w:tc>
          <w:tcPr>
            <w:tcW w:type="dxa" w:w="13968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This is a dated planning snapshot, not live service. Revenue hours exclude terminal recovery and deadhead. Frequencies are simplified route-level scheduled headways; N/A means no service in that category.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1008" w:right="936" w:bottom="936" w:left="936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0891B2"/>
          <w:sz w:val="17"/>
        </w:rPr>
        <w:t>3 · RIDER-PLANNING EVIDENCE</w:t>
      </w:r>
    </w:p>
    <w:p>
      <w:pPr>
        <w:pStyle w:val="Heading1"/>
      </w:pPr>
      <w:r>
        <w:t>Trip Planning Trends</w:t>
      </w:r>
    </w:p>
    <w:p>
      <w:pPr>
        <w:spacing w:before="80" w:after="160" w:line="276" w:lineRule="auto"/>
      </w:pPr>
      <w:r>
        <w:t>The Transit App overview identifies the routes with the most nearby views and engagement during the available evidence period.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Canonical Transit App aggregate · January 1 to September 30, 2025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62,396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USER-DAYS</w:t>
            </w:r>
          </w:p>
        </w:tc>
        <w:tc>
          <w:tcPr>
            <w:tcW w:type="dxa" w:w="2340"/>
            <w:shd w:fill="F3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165,319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TRIP REQUESTS</w:t>
            </w:r>
          </w:p>
        </w:tc>
        <w:tc>
          <w:tcPr>
            <w:tcW w:type="dxa" w:w="234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ROUTES TRACKED</w:t>
            </w:r>
          </w:p>
        </w:tc>
        <w:tc>
          <w:tcPr>
            <w:tcW w:type="dxa" w:w="2340"/>
            <w:shd w:fill="F3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92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DAYS COVERED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84"/>
        <w:gridCol w:w="2592"/>
        <w:gridCol w:w="2448"/>
        <w:gridCol w:w="2736"/>
      </w:tblGrid>
      <w:tr>
        <w:trPr>
          <w:tblHeader w:val="true"/>
        </w:trPr>
        <w:tc>
          <w:tcPr>
            <w:tcW w:type="dxa" w:w="158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59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Nearby views</w:t>
            </w:r>
          </w:p>
        </w:tc>
        <w:tc>
          <w:tcPr>
            <w:tcW w:type="dxa" w:w="2448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Taps</w:t>
            </w:r>
          </w:p>
        </w:tc>
        <w:tc>
          <w:tcPr>
            <w:tcW w:type="dxa" w:w="273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Average / day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8A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230,375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17,003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2,504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8B</w:t>
            </w:r>
          </w:p>
        </w:tc>
        <w:tc>
          <w:tcPr>
            <w:tcW w:type="dxa" w:w="259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224,333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15,773</w:t>
            </w:r>
          </w:p>
        </w:tc>
        <w:tc>
          <w:tcPr>
            <w:tcW w:type="dxa" w:w="27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2,438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12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125,792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13,591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1,367</w:t>
            </w:r>
          </w:p>
        </w:tc>
      </w:tr>
      <w:tr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7</w:t>
            </w:r>
          </w:p>
        </w:tc>
        <w:tc>
          <w:tcPr>
            <w:tcW w:type="dxa" w:w="259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121,100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8,148</w:t>
            </w:r>
          </w:p>
        </w:tc>
        <w:tc>
          <w:tcPr>
            <w:tcW w:type="dxa" w:w="27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1,316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101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120,139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9,628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1,306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3. Top routes by nearby views and engagement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Transit App records describe app engagement and requested-trip evidence. They do not prove boardings, unique riders, residence, trip completion, or service need.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/>
          <w:pgMar w:top="1080" w:right="1224" w:bottom="1080" w:left="1224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7C3AED"/>
          <w:sz w:val="17"/>
        </w:rPr>
        <w:t>4 · LONG-RANGE BOARDING TREND</w:t>
      </w:r>
    </w:p>
    <w:p>
      <w:pPr>
        <w:pStyle w:val="Heading1"/>
      </w:pPr>
      <w:r>
        <w:t>Annual Ridership</w:t>
      </w:r>
    </w:p>
    <w:p>
      <w:pPr>
        <w:spacing w:before="80" w:after="160" w:line="276" w:lineRule="auto"/>
      </w:pPr>
      <w:r>
        <w:t>Completed annual fixed-route boardings are shown from 2008 to 2025. The 2026 point separates actual year-to-date activity from the modelled base projection.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Transit Annual Ridership.xlsx through July 2026 + daily STREETS fixed-route boardings from August 1, 2026 · evidence through September 1,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14897"/>
            <wp:docPr id="1" name="Annual fixed-route ridership" descr="Line chart of completed annual fixed-route boardings from 2008 to 2025, with 2026 year-to-date boardings and a dashed 2026 base proj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-ridershi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4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Figure 1. Scheduled-route annual ridership with 2026 YTD and base projection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1,851,423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2026 YTD</w:t>
            </w:r>
          </w:p>
        </w:tc>
        <w:tc>
          <w:tcPr>
            <w:tcW w:type="dxa" w:w="2340"/>
            <w:shd w:fill="F3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2,640,044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BASE PROJECTION</w:t>
            </w:r>
          </w:p>
        </w:tc>
        <w:tc>
          <w:tcPr>
            <w:tcW w:type="dxa" w:w="234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2,573,240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LOW SCENARIO</w:t>
            </w:r>
          </w:p>
        </w:tc>
        <w:tc>
          <w:tcPr>
            <w:tcW w:type="dxa" w:w="2340"/>
            <w:shd w:fill="F3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71B4D"/>
                <w:sz w:val="32"/>
              </w:rPr>
              <w:t>2,706,848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75569"/>
                <w:sz w:val="15"/>
              </w:rPr>
              <w:t>HIGH SCENARIO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Ridership is boarding activity, not unique riders. The 2026 outlook is derived, not a target: it applies the Jan–Aug comparison with 2025 to the remaining seasonal pattern. On Demand is unavailable and is not included in the history or forecast.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/>
          <w:pgMar w:top="1080" w:right="1224" w:bottom="1080" w:left="1224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D97706"/>
          <w:sz w:val="17"/>
        </w:rPr>
        <w:t>5 · FLEET PLANNING ASSUMPTIONS</w:t>
      </w:r>
    </w:p>
    <w:p>
      <w:pPr>
        <w:pStyle w:val="Heading1"/>
      </w:pPr>
      <w:r>
        <w:t>Bus Fleet Plan</w:t>
      </w:r>
    </w:p>
    <w:p>
      <w:pPr>
        <w:spacing w:before="80" w:after="160" w:line="276" w:lineRule="auto"/>
      </w:pPr>
      <w:r>
        <w:t>The fleet outlook summarizes planned totals and lifecycle activity for each year of the 2027–2032 horizon.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2026-04-08 - Fleet_Plan.xlsx · version 1 · updated April 29,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52"/>
        <w:gridCol w:w="2232"/>
        <w:gridCol w:w="1512"/>
        <w:gridCol w:w="2376"/>
        <w:gridCol w:w="2088"/>
      </w:tblGrid>
      <w:tr>
        <w:trPr>
          <w:tblHeader w:val="true"/>
        </w:trPr>
        <w:tc>
          <w:tcPr>
            <w:tcW w:type="dxa" w:w="115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223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Planned fleet total</w:t>
            </w:r>
          </w:p>
        </w:tc>
        <w:tc>
          <w:tcPr>
            <w:tcW w:type="dxa" w:w="1512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Retiring</w:t>
            </w:r>
          </w:p>
        </w:tc>
        <w:tc>
          <w:tcPr>
            <w:tcW w:type="dxa" w:w="237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Replacement purchases</w:t>
            </w:r>
          </w:p>
        </w:tc>
        <w:tc>
          <w:tcPr>
            <w:tcW w:type="dxa" w:w="2088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Growth purchases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2027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69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2028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69</w:t>
            </w:r>
          </w:p>
        </w:tc>
        <w:tc>
          <w:tcPr>
            <w:tcW w:type="dxa" w:w="151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208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2029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67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2030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71</w:t>
            </w:r>
          </w:p>
        </w:tc>
        <w:tc>
          <w:tcPr>
            <w:tcW w:type="dxa" w:w="151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10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208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2031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80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9"/>
              </w:rPr>
              <w:t>2032</w:t>
            </w:r>
          </w:p>
        </w:tc>
        <w:tc>
          <w:tcPr>
            <w:tcW w:type="dxa" w:w="223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87</w:t>
            </w:r>
          </w:p>
        </w:tc>
        <w:tc>
          <w:tcPr>
            <w:tcW w:type="dxa" w:w="1512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237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</w:t>
            </w:r>
          </w:p>
        </w:tc>
        <w:tc>
          <w:tcPr>
            <w:tcW w:type="dxa" w:w="208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4. Fleet outlook by plan year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Fleet Plan records are current planning assumptions for vehicle lifecycle, replacement, and growth. They do not establish approved capital funding, procurement timing, vehicle availability, operating cost, or Council approval.</w:t>
            </w:r>
          </w:p>
        </w:tc>
      </w:tr>
    </w:tbl>
    <w:p>
      <w:pPr>
        <w:sectPr>
          <w:headerReference w:type="default" r:id="rId20"/>
          <w:footerReference w:type="default" r:id="rId21"/>
          <w:pgSz w:w="12240" w:h="15840"/>
          <w:pgMar w:top="1080" w:right="1224" w:bottom="1080" w:left="1224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047857"/>
          <w:sz w:val="17"/>
        </w:rPr>
        <w:t>6 · PUBLISHED PLANNING SOURCE</w:t>
      </w:r>
    </w:p>
    <w:p>
      <w:pPr>
        <w:pStyle w:val="Heading1"/>
      </w:pPr>
      <w:r>
        <w:t>Published Route Schedules</w:t>
      </w:r>
    </w:p>
    <w:p>
      <w:pPr>
        <w:spacing w:before="80" w:after="160" w:line="276" w:lineRule="auto"/>
      </w:pPr>
      <w:r>
        <w:t>The Master Schedule overview aggregates service hours from the current published route/day schedules. Annual values use the configured 2026 holiday-adjusted service-day counts.</w:t>
      </w:r>
    </w:p>
    <w:p>
      <w:pPr>
        <w:spacing w:before="40" w:after="120"/>
      </w:pPr>
      <w:r>
        <w:rPr>
          <w:rFonts w:ascii="Calibri" w:hAnsi="Calibri"/>
          <w:i/>
          <w:color w:val="475569"/>
          <w:sz w:val="17"/>
        </w:rPr>
        <w:t>Source snapshot: Canonical Barrie Transit Master Schedule · 29 published route/day entries across 10 routes · 252 weekdays, 51 Saturdays, and 56 Sundays</w:t>
      </w:r>
    </w:p>
    <w:tbl>
      <w:tblPr>
        <w:tblStyle w:val="TableGrid"/>
        <w:tblW w:type="dxa" w:w="12528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"/>
        <w:gridCol w:w="1584"/>
        <w:gridCol w:w="1800"/>
        <w:gridCol w:w="1584"/>
        <w:gridCol w:w="1800"/>
        <w:gridCol w:w="1440"/>
        <w:gridCol w:w="1656"/>
        <w:gridCol w:w="1728"/>
      </w:tblGrid>
      <w:tr>
        <w:trPr>
          <w:tblHeader w:val="true"/>
        </w:trPr>
        <w:tc>
          <w:tcPr>
            <w:tcW w:type="dxa" w:w="93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58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Weekday daily</w:t>
            </w:r>
          </w:p>
        </w:tc>
        <w:tc>
          <w:tcPr>
            <w:tcW w:type="dxa" w:w="180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Weekday annual</w:t>
            </w:r>
          </w:p>
        </w:tc>
        <w:tc>
          <w:tcPr>
            <w:tcW w:type="dxa" w:w="158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Saturday daily</w:t>
            </w:r>
          </w:p>
        </w:tc>
        <w:tc>
          <w:tcPr>
            <w:tcW w:type="dxa" w:w="180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Saturday annual</w:t>
            </w:r>
          </w:p>
        </w:tc>
        <w:tc>
          <w:tcPr>
            <w:tcW w:type="dxa" w:w="144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Sunday daily</w:t>
            </w:r>
          </w:p>
        </w:tc>
        <w:tc>
          <w:tcPr>
            <w:tcW w:type="dxa" w:w="165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Sunday annual</w:t>
            </w:r>
          </w:p>
        </w:tc>
        <w:tc>
          <w:tcPr>
            <w:tcW w:type="dxa" w:w="1728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Total annual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400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23.4h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5,888.4h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19.4h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987.7h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—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—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6,876.1h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100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30.5h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7,694.4h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29.0h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1,477.3h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22.5h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1,261.9h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10,433.6h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101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29.7h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7,480.2h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28.6h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1,459.5h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22.3h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1,246.0h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10,185.7h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2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48.2h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12,150.6h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45.3h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2,307.8h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26.6h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1,491.5h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15,949.8h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7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63.9h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16,098.6h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59.8h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3,049.8h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24.9h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1,393.5h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20,541.9h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8A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83.2h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20,958.0h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73.6h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3,752.7h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33.0h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1,846.1h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26,556.9h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8B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79.8h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20,109.6h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72.6h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3,700.9h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32.4h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1,812.5h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25,623.0h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10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34.8h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8,778.0h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31.8h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1,623.5h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14.9h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835.3h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11,236.8h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11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34.8h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8,778.0h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30.8h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1,572.5h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14.9h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835.3h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11,185.8h</w:t>
            </w:r>
          </w:p>
        </w:tc>
      </w:tr>
      <w:tr>
        <w:tc>
          <w:tcPr>
            <w:tcW w:type="dxa" w:w="93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12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69.5h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17,509.8h</w:t>
            </w:r>
          </w:p>
        </w:tc>
        <w:tc>
          <w:tcPr>
            <w:tcW w:type="dxa" w:w="158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65.9h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3,360.1h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29.0h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1,624.9h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22,494.8h</w:t>
            </w:r>
          </w:p>
        </w:tc>
      </w:tr>
      <w:tr>
        <w:tc>
          <w:tcPr>
            <w:tcW w:type="dxa" w:w="936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6"/>
              </w:rPr>
              <w:t>TOTAL</w:t>
            </w:r>
          </w:p>
        </w:tc>
        <w:tc>
          <w:tcPr>
            <w:tcW w:type="dxa" w:w="1584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497.8h</w:t>
            </w:r>
          </w:p>
        </w:tc>
        <w:tc>
          <w:tcPr>
            <w:tcW w:type="dxa" w:w="1800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125,445.6h</w:t>
            </w:r>
          </w:p>
        </w:tc>
        <w:tc>
          <w:tcPr>
            <w:tcW w:type="dxa" w:w="1584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456.7h</w:t>
            </w:r>
          </w:p>
        </w:tc>
        <w:tc>
          <w:tcPr>
            <w:tcW w:type="dxa" w:w="1800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23,291.7h</w:t>
            </w:r>
          </w:p>
        </w:tc>
        <w:tc>
          <w:tcPr>
            <w:tcW w:type="dxa" w:w="1440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220.5h</w:t>
            </w:r>
          </w:p>
        </w:tc>
        <w:tc>
          <w:tcPr>
            <w:tcW w:type="dxa" w:w="1656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12,347.1h</w:t>
            </w:r>
          </w:p>
        </w:tc>
        <w:tc>
          <w:tcPr>
            <w:tcW w:type="dxa" w:w="1728"/>
            <w:vAlign w:val="center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/>
                <w:color w:val="111827"/>
                <w:sz w:val="16"/>
              </w:rPr>
              <w:t>161,084.4h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5. Published Master Schedule service hours</w:t>
      </w:r>
    </w:p>
    <w:tbl>
      <w:tblPr>
        <w:tblW w:type="dxa" w:w="13968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968"/>
      </w:tblGrid>
      <w:tr>
        <w:tc>
          <w:tcPr>
            <w:tcW w:type="dxa" w:w="13968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1B4D"/>
                <w:sz w:val="18"/>
              </w:rPr>
              <w:t>Interpretation limit</w:t>
            </w:r>
          </w:p>
          <w:p>
            <w:pPr>
              <w:spacing w:after="0"/>
            </w:pPr>
            <w:r>
              <w:rPr>
                <w:rFonts w:ascii="Calibri" w:hAnsi="Calibri"/>
                <w:color w:val="475569"/>
                <w:sz w:val="18"/>
              </w:rPr>
              <w:t>These records describe the current published planning source. They do not establish service actually delivered, reliability, ridership, cost, or future Strategic Plan approval. Route 400 has no published Sunday entry.</w:t>
            </w:r>
          </w:p>
        </w:tc>
      </w:tr>
    </w:tbl>
    <w:p>
      <w:pPr>
        <w:sectPr>
          <w:headerReference w:type="default" r:id="rId22"/>
          <w:footerReference w:type="default" r:id="rId23"/>
          <w:pgSz w:w="15840" w:h="12240" w:orient="landscape"/>
          <w:pgMar w:top="1008" w:right="936" w:bottom="936" w:left="936" w:header="461" w:footer="461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Calibri" w:hAnsi="Calibri"/>
          <w:b/>
          <w:caps/>
          <w:color w:val="001C80"/>
          <w:sz w:val="17"/>
        </w:rPr>
        <w:t>REFERENCE</w:t>
      </w:r>
    </w:p>
    <w:p>
      <w:pPr>
        <w:pStyle w:val="Heading1"/>
      </w:pPr>
      <w:r>
        <w:t>Evidence definitions and source register</w:t>
      </w:r>
    </w:p>
    <w:p>
      <w:pPr>
        <w:spacing w:before="80" w:after="160" w:line="276" w:lineRule="auto"/>
      </w:pPr>
      <w:r>
        <w:t>The six workspaces intentionally remain separate because their measures answer different planning questions. The report preserves those boundaries.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520"/>
        <w:gridCol w:w="3096"/>
        <w:gridCol w:w="3744"/>
      </w:tblGrid>
      <w:tr>
        <w:trPr>
          <w:tblHeader w:val="true"/>
        </w:trPr>
        <w:tc>
          <w:tcPr>
            <w:tcW w:type="dxa" w:w="2520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Workspace</w:t>
            </w:r>
          </w:p>
        </w:tc>
        <w:tc>
          <w:tcPr>
            <w:tcW w:type="dxa" w:w="3096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Source snapshot</w:t>
            </w:r>
          </w:p>
        </w:tc>
        <w:tc>
          <w:tcPr>
            <w:tcW w:type="dxa" w:w="3744"/>
            <w:vAlign w:val="center"/>
            <w:shd w:fill="001C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Use boundary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Project Work Plan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Shared revision 1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Status and progress require confirmation; not an approval record.</w:t>
            </w:r>
          </w:p>
        </w:tc>
      </w:tr>
      <w:tr>
        <w:tc>
          <w:tcPr>
            <w:tcW w:type="dxa" w:w="25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Current Scheduled Service</w:t>
            </w:r>
          </w:p>
        </w:tc>
        <w:tc>
          <w:tcPr>
            <w:tcW w:type="dxa" w:w="309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GTFS 20260503b; May 27–Aug 29, 2026</w:t>
            </w:r>
          </w:p>
        </w:tc>
        <w:tc>
          <w:tcPr>
            <w:tcW w:type="dxa" w:w="374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Static schedule snapshot; not live or delivered service.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Trip Planning Trends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Transit App; Jan 1–Sep 30, 2025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App engagement and requested trips; not ridership.</w:t>
            </w:r>
          </w:p>
        </w:tc>
      </w:tr>
      <w:tr>
        <w:tc>
          <w:tcPr>
            <w:tcW w:type="dxa" w:w="25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Annual Ridership</w:t>
            </w:r>
          </w:p>
        </w:tc>
        <w:tc>
          <w:tcPr>
            <w:tcW w:type="dxa" w:w="309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Workbook + STREETS through Sep 1, 2026</w:t>
            </w:r>
          </w:p>
        </w:tc>
        <w:tc>
          <w:tcPr>
            <w:tcW w:type="dxa" w:w="374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Fixed-route boardings; not unique riders or causation.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Bus Fleet Plan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Version 1; updated Apr 29, 2026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Planning assumptions; not funding or procurement approval.</w:t>
            </w:r>
          </w:p>
        </w:tc>
      </w:tr>
      <w:tr>
        <w:tc>
          <w:tcPr>
            <w:tcW w:type="dxa" w:w="2520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111827"/>
                <w:sz w:val="17"/>
              </w:rPr>
              <w:t>Published Route Schedules</w:t>
            </w:r>
          </w:p>
        </w:tc>
        <w:tc>
          <w:tcPr>
            <w:tcW w:type="dxa" w:w="3096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29 current route/day entries; captured Sep 2, 2026</w:t>
            </w:r>
          </w:p>
        </w:tc>
        <w:tc>
          <w:tcPr>
            <w:tcW w:type="dxa" w:w="3744"/>
            <w:vAlign w:val="center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Published planning source; not delivered service.</w:t>
            </w:r>
          </w:p>
        </w:tc>
      </w:tr>
    </w:tbl>
    <w:p>
      <w:pPr>
        <w:spacing w:before="100" w:after="100"/>
        <w:jc w:val="center"/>
      </w:pPr>
      <w:r>
        <w:rPr>
          <w:rFonts w:ascii="Calibri" w:hAnsi="Calibri"/>
          <w:i/>
          <w:color w:val="475569"/>
          <w:sz w:val="17"/>
        </w:rPr>
        <w:t>Table 6. Source register and interpretation boundaries</w:t>
      </w:r>
    </w:p>
    <w:p>
      <w:pPr>
        <w:pStyle w:val="Heading2"/>
      </w:pPr>
      <w:r>
        <w:t>Document controls</w:t>
      </w:r>
    </w:p>
    <w:p>
      <w:r>
        <w:rPr>
          <w:b/>
        </w:rPr>
        <w:t xml:space="preserve">Prepared for: </w:t>
      </w:r>
      <w:r>
        <w:t>Barrie Transit Strategic Plan working team</w:t>
      </w:r>
    </w:p>
    <w:p>
      <w:r>
        <w:rPr>
          <w:b/>
        </w:rPr>
        <w:t xml:space="preserve">Workspace captured: </w:t>
      </w:r>
      <w:r>
        <w:t>September 2, 2026</w:t>
      </w:r>
    </w:p>
    <w:p>
      <w:r>
        <w:rPr>
          <w:b/>
        </w:rPr>
        <w:t xml:space="preserve">Data handling: </w:t>
      </w:r>
      <w:r>
        <w:t>Read-only review of authenticated source workspaces; no source records were changed or copied back into the application.</w:t>
      </w:r>
    </w:p>
    <w:sectPr w:rsidR="00FC693F" w:rsidRPr="0006063C" w:rsidSect="00034616">
      <w:headerReference w:type="default" r:id="rId24"/>
      <w:footerReference w:type="default" r:id="rId25"/>
      <w:pgSz w:w="12240" w:h="15840"/>
      <w:pgMar w:top="1080" w:right="1224" w:bottom="1080" w:left="122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475569"/>
        <w:sz w:val="17"/>
      </w:rPr>
      <w:t xml:space="preserve">Internal working document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CBD5E1"/>
      </w:pBdr>
    </w:pPr>
    <w:r>
      <w:rPr>
        <w:rFonts w:ascii="Calibri" w:hAnsi="Calibri"/>
        <w:b/>
        <w:color w:val="475569"/>
        <w:sz w:val="17"/>
      </w:rPr>
      <w:t>2027–2032 Strategic Plan Workspace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1C8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1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71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image" Target="media/image1.png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2027–2032 Strategic Plan Workspace Summary</dc:title>
  <dc:subject>Working-team summary of six Barrie Transit Strategic Plan workspaces</dc:subject>
  <dc:creator>Barrie Transit</dc:creator>
  <cp:keywords>Strategic Plan, Barrie Transit, Work Plan, Ridership, Fleet, Service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