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 xml:space="preserve">Списки в </w:t>
      </w:r>
      <w:proofErr w:type="spellStart"/>
      <w:r w:rsidRPr="00560D4D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>Prolog</w:t>
      </w:r>
      <w:proofErr w:type="spellEnd"/>
      <w:r w:rsidRPr="00560D4D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>. Синтаксис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При использовании статически-типизированного диалекта необходимо объявить тип списка (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например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в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Turbo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Prolog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это делается в разделе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domains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):</w:t>
      </w:r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5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30"/>
      </w:tblGrid>
      <w:tr w:rsidR="00560D4D" w:rsidRPr="00560D4D" w:rsidTr="00560D4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объявление типа данных списка</w:t>
            </w:r>
          </w:p>
        </w:tc>
      </w:tr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330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domains</w:t>
            </w:r>
            <w:proofErr w:type="spellEnd"/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  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ilist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integer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*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В дальнейшем, при объявлении функций обработки списков (раздел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predicates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) необходимо использовать объявленный тип данных. Функция обработки списков вещественных чисел не будет обрабатывать список целых – это не очень удобно, однако позволяет выявлять несоответствие типов на этапе трансляции и генерировать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более оптимальный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код компилятору.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При использовании таких диалектов как SWI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Prolog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предварительное объявление типов не требуется, кроме того, список может содержать данные разных типов.</w:t>
      </w:r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6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9195"/>
      </w:tblGrid>
      <w:tr w:rsidR="00560D4D" w:rsidRPr="00560D4D" w:rsidTr="00560D4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синтаксис обработки списков в </w:t>
            </w:r>
            <w:proofErr w:type="spellStart"/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Prolog</w:t>
            </w:r>
            <w:proofErr w:type="spellEnd"/>
          </w:p>
        </w:tc>
      </w:tr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195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list_syntax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  % объявление списка из трех чисел с именем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ListA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: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  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ListA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= [7, 5, 3],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  % разделение списка на первый элемент (переменная с именем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Head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)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  % и остальную часть списка (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Tail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)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  </w:t>
            </w: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% </w:t>
            </w: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в</w:t>
            </w: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результате</w:t>
            </w: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 Head = 7, Tail = [5, 3]: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ListA = [Head|Tail],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</w:t>
            </w: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% формирование списка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ListB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из нового элемента,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Head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tail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: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  % в результате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ListB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= [7, 9, 5, 3]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  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ListB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= [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Head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, 9|Tail],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  % сравнение списка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ListA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с пустым списком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  % (завершится неудачей, т.к.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ListA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не </w:t>
            </w:r>
            <w:proofErr w:type="gram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пуст</w:t>
            </w:r>
            <w:proofErr w:type="gram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)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  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ListA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= [].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Приведенный выше пример показывает рекурсивную природу списков – после отделения головы (первого элемента) остается хвост, также являющийся списком. Операция разделения на голову и хвост может использоваться для формирования нового списка. В языке имеется обозначение для пустого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списка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и оно постоянно используется в рекурсивных функциях для фиксации окончания обработки.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t>Рекурсивная обработка списков. Примеры</w:t>
      </w:r>
    </w:p>
    <w:p w:rsidR="00560D4D" w:rsidRPr="00560D4D" w:rsidRDefault="00560D4D" w:rsidP="00560D4D">
      <w:pPr>
        <w:shd w:val="clear" w:color="auto" w:fill="FFFFFF"/>
        <w:spacing w:beforeAutospacing="1" w:after="100" w:afterAutospacing="1" w:line="240" w:lineRule="auto"/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</w:pP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sum_list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(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 xml:space="preserve">, 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Sum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)</w:t>
      </w:r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 – вычисление суммы элементов списка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Сумма элементов пустого списка равна нулю. Если список не пуст – разделим его на первый элемент и хвост. Обработаем рекурсивно хвост, в результате получим сумму элементов части списка без учета первого элемента. Добавим первый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элемент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чтобы получить окончательный результат.</w:t>
      </w:r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7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30"/>
      </w:tblGrid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330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sum_list([], 0):-!.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sum_list([Head|Tail], Sum):-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sum_list(Tail, TailSum),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Sum is TailSum + Head.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Autospacing="1" w:after="100" w:afterAutospacing="1" w:line="240" w:lineRule="auto"/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</w:pPr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nth0(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Index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 xml:space="preserve">, 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 xml:space="preserve">, 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Elem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)</w:t>
      </w:r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 – функция получения элемента списка с заданным индексом. Индексация начинается с нуля. Если нужного элемента нет – функция завершается неудачей.</w:t>
      </w:r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8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30"/>
      </w:tblGrid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330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nth0(0, [Elem|_Tail], Elem):-!.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nth0(Index, _List, _Elem):-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Index &lt; 0, !, fail.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nth0(Index, [_Head|Tail], Elem):-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NextIndex is Index - 1,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nth0(NextIndex, Tail, Elem).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Функция завершает свою и успешно возвращает первый элемент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списка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если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Index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равен нулю и от списка удалось отделить первый элемент. Функция завершается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неудачей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если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Idex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оказался меньше нуля или остался больше нуля при пустом списке. Если же список не пуст (от него успешно отделяется первый элемент) и индекс больше ноля – рекурсивно обрабатывается хвост списка и уменьшенный на единицу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Index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(ведь список уменьшился на один элемент).</w:t>
      </w:r>
    </w:p>
    <w:p w:rsidR="00560D4D" w:rsidRPr="00560D4D" w:rsidRDefault="00560D4D" w:rsidP="00560D4D">
      <w:pPr>
        <w:shd w:val="clear" w:color="auto" w:fill="FFFFFF"/>
        <w:spacing w:beforeAutospacing="1" w:after="100" w:afterAutospacing="1" w:line="240" w:lineRule="auto"/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</w:pP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member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(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Elem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 xml:space="preserve">, 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) </w:t>
      </w:r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 xml:space="preserve">– выполняет поиск значения в списке. </w:t>
      </w:r>
      <w:proofErr w:type="gramStart"/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Завершается удачей если элемент найден</w:t>
      </w:r>
      <w:proofErr w:type="gramEnd"/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.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Если значение первого элемента списка совпадает со значением искомого элемента – правило сразу завершается удачей. В противном случае первый элемент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отбрасывается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и поиск продолжается в хвосте. Как только разделение списка на голову и хвост станет невозможно – правило завершится неудачей.</w:t>
      </w:r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9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30"/>
      </w:tblGrid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330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member(Elem, [Elem|_Tail]).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member(Elem, [_Head|Tail]):-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member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(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Elem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Tail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).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Важно то, что предикат может вернуть несколько решений (предикат является недетерминированным – </w:t>
      </w:r>
      <w:proofErr w:type="spellStart"/>
      <w:r w:rsidRPr="00560D4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nondeterm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), поэтому первое правило не содержит отсечения. Такое поведение особенно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важно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если </w:t>
      </w:r>
      <w:r w:rsidRPr="00560D4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 xml:space="preserve">функция </w:t>
      </w:r>
      <w:proofErr w:type="spellStart"/>
      <w:r w:rsidRPr="00560D4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member</w:t>
      </w:r>
      <w:proofErr w:type="spellEnd"/>
      <w:r w:rsidRPr="00560D4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 </w:t>
      </w: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используется для перебора всех элементов списка (достаточно передать вместо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Elem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анонимную переменную).</w:t>
      </w:r>
    </w:p>
    <w:p w:rsidR="00560D4D" w:rsidRPr="00560D4D" w:rsidRDefault="00560D4D" w:rsidP="00560D4D">
      <w:pPr>
        <w:shd w:val="clear" w:color="auto" w:fill="FFFFFF"/>
        <w:spacing w:beforeAutospacing="1" w:after="100" w:afterAutospacing="1" w:line="240" w:lineRule="auto"/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</w:pP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min_list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(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List,MinElem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) </w:t>
      </w:r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– вычисление наименьшего элемента списка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Решение очевидно, если список состоит из одного элемента. Если элементов больше, то список разделяется на голову и хвост. Рекурсивно вычисляется наименьший элемент хвоста и сравнивается с первым элементом для определения результата для всего списка.</w:t>
      </w:r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10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30"/>
      </w:tblGrid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330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min_list([MinElem], MinElem):-!.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min_list([Head|Tail], MinElem):-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min_list(Tail, TailMinElem),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TailMinElem &lt; Head, !, MinElem = TailMinElem;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MinElem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Head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.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Если на вход будет подан пустой список, то разделение на голову и хвост провалится и правило завершится неудачей.</w:t>
      </w:r>
    </w:p>
    <w:p w:rsidR="00560D4D" w:rsidRPr="00560D4D" w:rsidRDefault="00560D4D" w:rsidP="00560D4D">
      <w:pPr>
        <w:shd w:val="clear" w:color="auto" w:fill="FFFFFF"/>
        <w:spacing w:beforeAutospacing="1" w:after="100" w:afterAutospacing="1" w:line="240" w:lineRule="auto"/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</w:pP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reverse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(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 xml:space="preserve">, 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ReverseList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)</w:t>
      </w:r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 – функция переворота списка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Чтобы перевернуть список используется </w:t>
      </w:r>
      <w:r w:rsidRPr="00560D4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метод накапливающего параметра</w:t>
      </w: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, при этом создается вспомогательная функция, которая помимо двух списков принимает буфер. Изначально буфер пуст, но по мере обработки, в его начало добавляются элементы из исходного списка – поэтому первый добавленный элемент окажется последним, а последний – первым. Как только все элементы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окажутся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обработаны – накопленные в буфере значения будут переписаны в список-результат.</w:t>
      </w:r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11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310"/>
      </w:tblGrid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10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reverse(List, ReverseList):-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  reverse(List, [], ReverseList). </w:t>
            </w: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% вызов вспомогательной функции с пустым буфером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reverse([], Buffer, Buffer):-!.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reverse([Head|Tail], Buffer, ReverseList):-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reverse(Tail, [Head|Buffer], ReverseList).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Метод накапливающего параметра используется достаточно часто, т.к. при его использовании рекурсивный вызов оказывается последней операцией, выполняемой функцией. Компиляторы заменяют такой вызов циклом, что позволяет обрабатывать огромные списки и не бояться переполнения стека.</w:t>
      </w:r>
    </w:p>
    <w:p w:rsidR="00560D4D" w:rsidRPr="00560D4D" w:rsidRDefault="00560D4D" w:rsidP="00560D4D">
      <w:pPr>
        <w:shd w:val="clear" w:color="auto" w:fill="FFFFFF"/>
        <w:spacing w:beforeAutospacing="1" w:after="100" w:afterAutospacing="1" w:line="240" w:lineRule="auto"/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</w:pP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sublist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(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Sub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 xml:space="preserve">, 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)</w:t>
      </w:r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 xml:space="preserve"> – завершается </w:t>
      </w:r>
      <w:proofErr w:type="gramStart"/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удачей</w:t>
      </w:r>
      <w:proofErr w:type="gramEnd"/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 xml:space="preserve"> если все элементы списка </w:t>
      </w:r>
      <w:proofErr w:type="spellStart"/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Sub</w:t>
      </w:r>
      <w:proofErr w:type="spellEnd"/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 xml:space="preserve"> встречаются в списке </w:t>
      </w:r>
      <w:proofErr w:type="spellStart"/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List</w:t>
      </w:r>
      <w:proofErr w:type="spellEnd"/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 xml:space="preserve"> в точно таком же порядке.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Напишем вспомогательную функцию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sub_start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для проверки случая, когда список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List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начинается со списка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Sub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Очевидно, проверка вспомогательного правила даст условие выхода из рекурсии в случае успешного завершения работы. Если же проверка не увенчалась успехом – отделим от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List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первый элемент, а остальные попробуем обработать рекурсивно.</w:t>
      </w:r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12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30"/>
      </w:tblGrid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330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sub_start([], _List):-!.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sub_start([Head|TailSub], [Head|TailList]):-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sub_start(TailSub, TailList).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 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sublist(Sub, List):-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sub_start(Sub, List), 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sublist(Sub, [_Head|Tail]):-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sublist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(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Sub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Tail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).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lastRenderedPageBreak/>
        <w:t xml:space="preserve">Функция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sub_start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завершается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успехом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если список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Sub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оказался пуст, т.к. пустой список по определению является часть любого списка.</w:t>
      </w:r>
    </w:p>
    <w:p w:rsidR="00560D4D" w:rsidRPr="00560D4D" w:rsidRDefault="00560D4D" w:rsidP="00560D4D">
      <w:pPr>
        <w:shd w:val="clear" w:color="auto" w:fill="FFFFFF"/>
        <w:spacing w:beforeAutospacing="1" w:after="100" w:afterAutospacing="1" w:line="240" w:lineRule="auto"/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</w:pP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delete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(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InputList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 xml:space="preserve">, 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Elem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 xml:space="preserve">, 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ResultList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) </w:t>
      </w:r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– функция удаления всех элементов с заданным значением из списка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Если на вход подан пустой список, то результатом должен также являться пустой список. Если первый элемент списка совпал с удаляемым значением – функция должна вернуть результат рекурсивной обработки хвоста, а в противном случае – добавить к полученному результату первый элемент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  <w:proofErr w:type="gramEnd"/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13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30"/>
      </w:tblGrid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330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delete([], _Elem, []):-!.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delete([Elem|Tail], Elem, ResultTail):-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delete(Tail, Elem, ResultTail), 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delete([Head|Tail], Elem, [Head|ResultTail]):-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delete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(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Tail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Elem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ResultTail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).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Autospacing="1" w:after="100" w:afterAutospacing="1" w:line="240" w:lineRule="auto"/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</w:pP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append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(List1, List2, List1AndList2)</w:t>
      </w:r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– функция объединения двух списков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Постепенно выбирая элементы первого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списка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сводим ситуацию к тому, что список станет пуст – в этом случае результатом работы функции должен являться второй список. На рекурсивном подъеме добавим к полученному результату элементы первого списка.</w:t>
      </w:r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14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30"/>
      </w:tblGrid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330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append([], List2, List2):-!.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append([Head|Tail], List2, [Head|TailResult]):-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append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(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Tail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, List2,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TailResult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).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Autospacing="1" w:after="100" w:afterAutospacing="1" w:line="240" w:lineRule="auto"/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</w:pP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unique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(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)</w:t>
      </w:r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 – проверка того, что ни один элемент списка не повторяется дважды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 списке нет повторяющихся элементов, если первый элемент списка не встречается в хвосте, а также, в хвосте нет повторяющихся элементов. Условием выхода из рекурсии может быть пустота исходного списка – в нем гарантированно нет повторяющихся элементов.</w:t>
      </w:r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15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30"/>
      </w:tblGrid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330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unique([]):-!.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unique([Head|Tail]):-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member(Head, Tail), !, fail;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unique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(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Tail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).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Autospacing="1" w:after="100" w:afterAutospacing="1" w:line="240" w:lineRule="auto"/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</w:pP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rangConcat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(List1, List2, List1AndList2) </w:t>
      </w:r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– объединение двух отсортированных списков так, чтобы в результате получился отсортированный список.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Очевидно, что если один из списков пуст – результатом является другой список. На каждом шаге алгоритма оба входных списка разделяются на голову и хвост. Головы сравниваются и рекурсивно обрабатываются списки без наименьшей головы, на рекурсивном подъеме она добавляется к результату.</w:t>
      </w:r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16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30"/>
      </w:tblGrid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330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rangConcat([], List2, List2):-!.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rangConcat(List1, [], List1):-!.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rangConcat([Head1|Tail1], [Head2|Tail2], [Head1|TailResult]):-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Head1 &lt; Head2, !, rangConcat(Tail1, [Head2|Tail2], TailResult).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rangConcat(List1, [Head2|Tail2], [Head2|TailResult]):-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rangConcat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(List1, Tail2, </w:t>
            </w:r>
            <w:proofErr w:type="spellStart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TailResult</w:t>
            </w:r>
            <w:proofErr w:type="spellEnd"/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).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Autospacing="1" w:after="100" w:afterAutospacing="1" w:line="240" w:lineRule="auto"/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</w:pP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length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(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List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 xml:space="preserve">, </w:t>
      </w:r>
      <w:proofErr w:type="spellStart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Length</w:t>
      </w:r>
      <w:proofErr w:type="spellEnd"/>
      <w:r w:rsidRPr="00560D4D">
        <w:rPr>
          <w:rFonts w:ascii="inherit" w:eastAsia="Times New Roman" w:hAnsi="inherit" w:cs="Helvetica"/>
          <w:b/>
          <w:bCs/>
          <w:color w:val="6F6F6F"/>
          <w:sz w:val="24"/>
          <w:szCs w:val="24"/>
          <w:lang w:eastAsia="ru-RU"/>
        </w:rPr>
        <w:t>)</w:t>
      </w:r>
      <w:r w:rsidRPr="00560D4D">
        <w:rPr>
          <w:rFonts w:ascii="inherit" w:eastAsia="Times New Roman" w:hAnsi="inherit" w:cs="Helvetica"/>
          <w:color w:val="6F6F6F"/>
          <w:sz w:val="24"/>
          <w:szCs w:val="24"/>
          <w:lang w:eastAsia="ru-RU"/>
        </w:rPr>
        <w:t> – вычисляет длину списка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Используем метод накапливающего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параметра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чтобы рекурсия функции была хвостовой, т.к. длина списков на языке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Prolog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вычисляется очень часто поэтому эффективность функции является критичной.</w:t>
      </w:r>
    </w:p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Функция </w:t>
      </w:r>
      <w:proofErr w:type="spell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length</w:t>
      </w:r>
      <w:proofErr w:type="spell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вызывает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вспомогательную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при этом задает начальное значение длины равным нулю.</w:t>
      </w:r>
    </w:p>
    <w:p w:rsidR="00560D4D" w:rsidRPr="00560D4D" w:rsidRDefault="00560D4D" w:rsidP="00560D4D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hyperlink r:id="rId17" w:history="1">
        <w:r w:rsidRPr="00560D4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30"/>
      </w:tblGrid>
      <w:tr w:rsidR="00560D4D" w:rsidRPr="00560D4D" w:rsidTr="00560D4D">
        <w:tc>
          <w:tcPr>
            <w:tcW w:w="0" w:type="auto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330" w:type="dxa"/>
            <w:vAlign w:val="center"/>
            <w:hideMark/>
          </w:tcPr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length(List, Length):-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length(List, 0, Length).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 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length([], Length, Length):-!.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length([_Head|Tail], Buffer, Length):-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NewBuffer is Buffer + 1,</w:t>
            </w:r>
          </w:p>
          <w:p w:rsidR="00560D4D" w:rsidRPr="00560D4D" w:rsidRDefault="00560D4D" w:rsidP="00560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560D4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length(Tail, NewBuffer, Length).</w:t>
            </w:r>
          </w:p>
        </w:tc>
      </w:tr>
    </w:tbl>
    <w:p w:rsidR="00560D4D" w:rsidRPr="00560D4D" w:rsidRDefault="00560D4D" w:rsidP="00560D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Вспомогательная функция возвращает накопленное в буфере значение в качестве </w:t>
      </w:r>
      <w:proofErr w:type="gramStart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длины</w:t>
      </w:r>
      <w:proofErr w:type="gramEnd"/>
      <w:r w:rsidRPr="00560D4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если на вход подан пустой список. В противном случае от исходного списка отделяется один элемент, вычисляется новое значение буфера. Хвост списка и буфер передаются для рекурсивной обработки.</w:t>
      </w:r>
    </w:p>
    <w:p w:rsidR="00711AD8" w:rsidRDefault="00711AD8">
      <w:bookmarkStart w:id="0" w:name="_GoBack"/>
      <w:bookmarkEnd w:id="0"/>
    </w:p>
    <w:sectPr w:rsidR="00711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FC"/>
    <w:rsid w:val="00382AFC"/>
    <w:rsid w:val="00560D4D"/>
    <w:rsid w:val="0071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0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0D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6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60D4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60D4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60D4D"/>
    <w:rPr>
      <w:b/>
      <w:bCs/>
    </w:rPr>
  </w:style>
  <w:style w:type="character" w:customStyle="1" w:styleId="apple-converted-space">
    <w:name w:val="apple-converted-space"/>
    <w:basedOn w:val="a0"/>
    <w:rsid w:val="00560D4D"/>
  </w:style>
  <w:style w:type="character" w:styleId="a6">
    <w:name w:val="Emphasis"/>
    <w:basedOn w:val="a0"/>
    <w:uiPriority w:val="20"/>
    <w:qFormat/>
    <w:rsid w:val="00560D4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0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0D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6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60D4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60D4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60D4D"/>
    <w:rPr>
      <w:b/>
      <w:bCs/>
    </w:rPr>
  </w:style>
  <w:style w:type="character" w:customStyle="1" w:styleId="apple-converted-space">
    <w:name w:val="apple-converted-space"/>
    <w:basedOn w:val="a0"/>
    <w:rsid w:val="00560D4D"/>
  </w:style>
  <w:style w:type="character" w:styleId="a6">
    <w:name w:val="Emphasis"/>
    <w:basedOn w:val="a0"/>
    <w:uiPriority w:val="20"/>
    <w:qFormat/>
    <w:rsid w:val="00560D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7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12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4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117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58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271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090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092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660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8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51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953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9721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62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700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41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7328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43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989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1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332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388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951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9627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8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-prof.com/archives/845" TargetMode="External"/><Relationship Id="rId13" Type="http://schemas.openxmlformats.org/officeDocument/2006/relationships/hyperlink" Target="http://pro-prof.com/archives/84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-prof.com/archives/845" TargetMode="External"/><Relationship Id="rId12" Type="http://schemas.openxmlformats.org/officeDocument/2006/relationships/hyperlink" Target="http://pro-prof.com/archives/845" TargetMode="External"/><Relationship Id="rId17" Type="http://schemas.openxmlformats.org/officeDocument/2006/relationships/hyperlink" Target="http://pro-prof.com/archives/84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ro-prof.com/archives/845" TargetMode="External"/><Relationship Id="rId1" Type="http://schemas.openxmlformats.org/officeDocument/2006/relationships/styles" Target="styles.xml"/><Relationship Id="rId6" Type="http://schemas.openxmlformats.org/officeDocument/2006/relationships/hyperlink" Target="http://pro-prof.com/archives/845" TargetMode="External"/><Relationship Id="rId11" Type="http://schemas.openxmlformats.org/officeDocument/2006/relationships/hyperlink" Target="http://pro-prof.com/archives/845" TargetMode="External"/><Relationship Id="rId5" Type="http://schemas.openxmlformats.org/officeDocument/2006/relationships/hyperlink" Target="http://pro-prof.com/archives/845" TargetMode="External"/><Relationship Id="rId15" Type="http://schemas.openxmlformats.org/officeDocument/2006/relationships/hyperlink" Target="http://pro-prof.com/archives/845" TargetMode="External"/><Relationship Id="rId10" Type="http://schemas.openxmlformats.org/officeDocument/2006/relationships/hyperlink" Target="http://pro-prof.com/archives/84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ro-prof.com/archives/845" TargetMode="External"/><Relationship Id="rId14" Type="http://schemas.openxmlformats.org/officeDocument/2006/relationships/hyperlink" Target="http://pro-prof.com/archives/8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1462</Words>
  <Characters>8336</Characters>
  <Application>Microsoft Office Word</Application>
  <DocSecurity>0</DocSecurity>
  <Lines>69</Lines>
  <Paragraphs>19</Paragraphs>
  <ScaleCrop>false</ScaleCrop>
  <Company/>
  <LinksUpToDate>false</LinksUpToDate>
  <CharactersWithSpaces>9779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Олександер</dc:creator>
  <cp:keywords/>
  <dc:description/>
  <cp:lastModifiedBy>Олександер</cp:lastModifiedBy>
  <cp:revision>3</cp:revision>
  <dcterms:created xsi:type="dcterms:W3CDTF">2015-12-28T06:06:00Z</dcterms:created>
  <dcterms:modified xsi:type="dcterms:W3CDTF">2015-12-28T06:06:00Z</dcterms:modified>
</cp:coreProperties>
</file>