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ReportInformation"/>
        <w:jc w:val="center"/>
        <w:rPr/>
      </w:pPr>
      <w:r>
        <w:rPr/>
      </w:r>
    </w:p>
    <w:p>
      <w:pPr>
        <w:sectPr>
          <w:type w:val="nextPage"/>
          <w:pgSz w:w="11906" w:h="16838"/>
          <w:pgMar w:left="720" w:right="720" w:gutter="0" w:header="0" w:top="720" w:footer="0" w:bottom="720"/>
          <w:pgBorders w:display="allPages" w:offsetFrom="text">
            <w:top w:val="single" w:sz="18" w:space="10" w:color="1569BC"/>
            <w:left w:val="single" w:sz="18" w:space="10" w:color="1569BC"/>
            <w:bottom w:val="single" w:sz="18" w:space="10" w:color="1569BC"/>
            <w:right w:val="single" w:sz="18" w:space="10" w:color="1569BC"/>
          </w:pgBorders>
          <w:pgNumType w:start="1" w:fmt="decimal"/>
          <w:formProt w:val="false"/>
          <w:textDirection w:val="lrTb"/>
          <w:docGrid w:type="default" w:linePitch="360" w:charSpace="0"/>
        </w:sectPr>
        <w:pStyle w:val="ReportInformation"/>
        <w:jc w:val="center"/>
        <w:rPr/>
      </w:pPr>
      <w:r>
        <w:rPr/>
      </w:r>
    </w:p>
    <w:p>
      <w:pPr>
        <w:pStyle w:val="Normal"/>
        <w:jc w:val="center"/>
        <w:rPr/>
      </w:pPr>
      <w:r>
        <w:rPr>
          <w:b/>
          <w:sz w:val="32"/>
        </w:rPr>
        <w:t>Έγγραφο απαιτήσεων λογισμικού (SRS)</w:t>
      </w:r>
    </w:p>
    <w:p>
      <w:pPr>
        <w:pStyle w:val="Normal"/>
        <w:rPr/>
      </w:pPr>
      <w:r>
        <w:rPr/>
      </w:r>
    </w:p>
    <w:p>
      <w:pPr>
        <w:pStyle w:val="Normal"/>
        <w:jc w:val="center"/>
        <w:rPr/>
      </w:pPr>
      <w:r>
        <w:rPr>
          <w:b/>
          <w:sz w:val="32"/>
        </w:rPr>
        <w:t>ΤΙΤΛΟΣ ΕΦΑΡΜΟΓΗΣ ΛΟΓΙΣΜΙΚΟΥ: intelliQ</w:t>
      </w:r>
    </w:p>
    <w:p>
      <w:pPr>
        <w:pStyle w:val="Normal"/>
        <w:rPr/>
      </w:pPr>
      <w:r>
        <w:rPr/>
      </w:r>
    </w:p>
    <w:p>
      <w:pPr>
        <w:pStyle w:val="Normal"/>
        <w:rPr/>
      </w:pPr>
      <w:r>
        <w:rPr>
          <w:b/>
          <w:sz w:val="32"/>
        </w:rPr>
        <w:t>1. Εισαγωγή</w:t>
      </w:r>
    </w:p>
    <w:p>
      <w:pPr>
        <w:pStyle w:val="Normal"/>
        <w:rPr/>
      </w:pPr>
      <w:r>
        <w:rPr/>
      </w:r>
    </w:p>
    <w:p>
      <w:pPr>
        <w:pStyle w:val="Normal"/>
        <w:rPr/>
      </w:pPr>
      <w:r>
        <w:rPr>
          <w:b/>
          <w:sz w:val="28"/>
        </w:rPr>
        <w:t>1.1        Εισαγωγή: Σκοπός του λογισμικού</w:t>
      </w:r>
      <w:r>
        <w:rPr>
          <w:sz w:val="28"/>
        </w:rPr>
        <w:t xml:space="preserve">  </w:t>
      </w:r>
      <w:r>
        <w:rPr/>
        <w:t xml:space="preserve"> </w:t>
      </w:r>
    </w:p>
    <w:p>
      <w:pPr>
        <w:pStyle w:val="Normal"/>
        <w:rPr/>
      </w:pPr>
      <w:r>
        <w:rPr/>
        <w:t xml:space="preserve"> </w:t>
      </w:r>
    </w:p>
    <w:p>
      <w:pPr>
        <w:pStyle w:val="Normal"/>
        <w:rPr/>
      </w:pPr>
      <w:r>
        <w:rPr>
          <w:sz w:val="24"/>
        </w:rPr>
        <w:t>Σκοπός της πλατφόρμας intelliQ είναι η διαμόρφωση και εκτέλεση "έξυπνων ερωτηματολογίων". Ως "έξυπνο", χαρακτηρίζεται ένα ερωτηματολόγιο όταν η κάθε επόμενη ερώτηση και οι απαντήσεις της δύναται να καθορίζεται από την απάντηση της προηγούμενης. Τόσο οι ερωτήσεις, όσο και οι απαντήσεις και οι κανόνες μετάβασης καθορίζονται παραμετρικά, δηλαδή ο χρήστης έχει τη δυνατότητα να δίνει τις επιλογές και τα μονοπάτια και ως αποτέλεσμα το λογισμικό αρχικοποιείται και εκτελείται.</w:t>
      </w:r>
    </w:p>
    <w:p>
      <w:pPr>
        <w:pStyle w:val="Normal"/>
        <w:rPr/>
      </w:pPr>
      <w:r>
        <w:rPr/>
      </w:r>
    </w:p>
    <w:p>
      <w:pPr>
        <w:pStyle w:val="Normal"/>
        <w:rPr/>
      </w:pPr>
      <w:r>
        <w:rPr>
          <w:b/>
          <w:sz w:val="28"/>
        </w:rPr>
        <w:t>1.2         Διεπαφές (interfaces)</w:t>
      </w:r>
    </w:p>
    <w:p>
      <w:pPr>
        <w:pStyle w:val="Normal"/>
        <w:rPr/>
      </w:pPr>
      <w:r>
        <w:rPr/>
      </w:r>
    </w:p>
    <w:p>
      <w:pPr>
        <w:pStyle w:val="Normal"/>
        <w:rPr/>
      </w:pPr>
      <w:r>
        <w:rPr>
          <w:b/>
          <w:sz w:val="28"/>
        </w:rPr>
        <w:t xml:space="preserve">1.2.1 Διεπαφές με εξωτερικά συστήματα </w:t>
      </w:r>
    </w:p>
    <w:p>
      <w:pPr>
        <w:pStyle w:val="Normal"/>
        <w:rPr/>
      </w:pPr>
      <w:r>
        <w:rPr/>
      </w:r>
    </w:p>
    <w:p>
      <w:pPr>
        <w:pStyle w:val="Normal"/>
        <w:rPr/>
      </w:pPr>
      <w:r>
        <w:rPr>
          <w:sz w:val="24"/>
        </w:rPr>
        <w:t xml:space="preserve">Το σύστημα όπως έχει υλοποιηθεί δε κάνει χρήση </w:t>
      </w:r>
      <w:r>
        <w:rPr>
          <w:color w:val="000000"/>
          <w:sz w:val="24"/>
        </w:rPr>
        <w:t>API’s από κάποιο τρίτο πάροχο. Οι κλήσεις για οποιαδήποτε υπηρεσία διέρχονται από το REST API της εφαρμογής  μας.</w:t>
      </w:r>
    </w:p>
    <w:p>
      <w:pPr>
        <w:pStyle w:val="Normal"/>
        <w:rPr/>
      </w:pPr>
      <w:r>
        <w:rPr/>
      </w:r>
    </w:p>
    <w:p>
      <w:pPr>
        <w:pStyle w:val="Normal"/>
        <w:rPr/>
      </w:pPr>
      <w:r>
        <w:rPr>
          <w:sz w:val="24"/>
        </w:rPr>
        <w:t>Eπισυνάπτεται το σχετικό component diagram.</w:t>
      </w:r>
    </w:p>
    <w:p>
      <w:pPr>
        <w:pStyle w:val="Heading1"/>
        <w:rPr/>
      </w:pPr>
      <w:bookmarkStart w:id="0" w:name="wht1.yGD.AACAUMD"/>
      <w:r>
        <w:rPr/>
        <w:t>1. Component Diagram1</w:t>
      </w:r>
      <w:bookmarkEnd w:id="0"/>
    </w:p>
    <w:p>
      <w:pPr>
        <w:pStyle w:val="Normal"/>
        <w:keepNext w:val="true"/>
        <w:jc w:val="center"/>
        <w:rPr/>
      </w:pPr>
      <w:r>
        <w:rPr/>
        <w:drawing>
          <wp:inline distT="0" distB="0" distL="0" distR="0">
            <wp:extent cx="6108700" cy="7416800"/>
            <wp:effectExtent l="0" t="0" r="0" b="0"/>
            <wp:docPr id="1" name="Image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png" descr=""/>
                    <pic:cNvPicPr>
                      <a:picLocks noChangeAspect="1" noChangeArrowheads="1"/>
                    </pic:cNvPicPr>
                  </pic:nvPicPr>
                  <pic:blipFill>
                    <a:blip r:embed="rId2"/>
                    <a:stretch>
                      <a:fillRect/>
                    </a:stretch>
                  </pic:blipFill>
                  <pic:spPr bwMode="auto">
                    <a:xfrm>
                      <a:off x="0" y="0"/>
                      <a:ext cx="6108700" cy="7416800"/>
                    </a:xfrm>
                    <a:prstGeom prst="rect">
                      <a:avLst/>
                    </a:prstGeom>
                  </pic:spPr>
                </pic:pic>
              </a:graphicData>
            </a:graphic>
          </wp:inline>
        </w:drawing>
      </w:r>
    </w:p>
    <w:p>
      <w:pPr>
        <w:pStyle w:val="Normal"/>
        <w:rPr/>
      </w:pPr>
      <w:r>
        <w:rPr/>
      </w:r>
    </w:p>
    <w:p>
      <w:pPr>
        <w:pStyle w:val="Normal"/>
        <w:rPr/>
      </w:pPr>
      <w:r>
        <w:rPr>
          <w:b/>
          <w:sz w:val="28"/>
        </w:rPr>
        <w:t>1.2.2 Διεπαφές με το χρήστη</w:t>
      </w:r>
    </w:p>
    <w:p>
      <w:pPr>
        <w:pStyle w:val="Normal"/>
        <w:jc w:val="left"/>
        <w:rPr/>
      </w:pPr>
      <w:r>
        <w:rPr/>
        <w:t xml:space="preserve"> </w:t>
      </w:r>
    </w:p>
    <w:p>
      <w:pPr>
        <w:pStyle w:val="Normal"/>
        <w:jc w:val="left"/>
        <w:rPr/>
      </w:pPr>
      <w:r>
        <w:rPr>
          <w:rFonts w:eastAsia="SansSerif" w:cs="SansSerif" w:ascii="SansSerif" w:hAnsi="SansSerif"/>
          <w:color w:val="000000"/>
          <w:sz w:val="24"/>
        </w:rPr>
        <w:t>Οι χρήστες θα μπορούν να συνδέονται με το πληροφοριακό σύστημα</w:t>
      </w:r>
      <w:r>
        <w:rPr>
          <w:rFonts w:eastAsia="SansSerif" w:cs="SansSerif" w:ascii="SansSerif" w:hAnsi="SansSerif"/>
          <w:b/>
          <w:color w:val="000000"/>
          <w:sz w:val="24"/>
        </w:rPr>
        <w:t xml:space="preserve"> intelliQ </w:t>
      </w:r>
      <w:r>
        <w:rPr>
          <w:rFonts w:eastAsia="SansSerif" w:cs="SansSerif" w:ascii="SansSerif" w:hAnsi="SansSerif"/>
          <w:color w:val="000000"/>
          <w:sz w:val="24"/>
        </w:rPr>
        <w:t>μέσω:</w:t>
      </w:r>
      <w:r>
        <w:rPr/>
        <w:t xml:space="preserve"> </w:t>
      </w:r>
    </w:p>
    <w:p>
      <w:pPr>
        <w:pStyle w:val="Normal"/>
        <w:numPr>
          <w:ilvl w:val="0"/>
          <w:numId w:val="1"/>
        </w:numPr>
        <w:jc w:val="left"/>
        <w:rPr/>
      </w:pPr>
      <w:r>
        <w:rPr>
          <w:rFonts w:eastAsia="SansSerif" w:cs="SansSerif" w:ascii="SansSerif" w:hAnsi="SansSerif"/>
          <w:color w:val="000000"/>
          <w:sz w:val="24"/>
        </w:rPr>
        <w:t xml:space="preserve">Μίας </w:t>
      </w:r>
      <w:r>
        <w:rPr>
          <w:rFonts w:eastAsia="SansSerif" w:cs="SansSerif" w:ascii="SansSerif" w:hAnsi="SansSerif"/>
          <w:b/>
          <w:color w:val="000000"/>
          <w:sz w:val="24"/>
        </w:rPr>
        <w:t>διαδικτυακής</w:t>
      </w:r>
      <w:r>
        <w:rPr>
          <w:rFonts w:eastAsia="SansSerif" w:cs="SansSerif" w:ascii="SansSerif" w:hAnsi="SansSerif"/>
          <w:color w:val="000000"/>
          <w:sz w:val="24"/>
        </w:rPr>
        <w:t xml:space="preserve"> </w:t>
      </w:r>
      <w:r>
        <w:rPr>
          <w:rFonts w:eastAsia="SansSerif" w:cs="SansSerif" w:ascii="SansSerif" w:hAnsi="SansSerif"/>
          <w:b/>
          <w:color w:val="000000"/>
          <w:sz w:val="24"/>
        </w:rPr>
        <w:t>εφαρμογής,</w:t>
      </w:r>
      <w:r>
        <w:rPr>
          <w:rFonts w:eastAsia="SansSerif" w:cs="SansSerif" w:ascii="SansSerif" w:hAnsi="SansSerif"/>
          <w:color w:val="000000"/>
          <w:sz w:val="24"/>
        </w:rPr>
        <w:t xml:space="preserve"> η οποιά θα προσφέρει στους χρήστες τη δυνατότητα να απαντήσουν σε ερωτηματολόγια για τα οποία έχουν τον κατάλληλο σύνδεσμο. Σε αυτό το σημείο θεωρείται δεδομένο πως θα έχουν κοινοποιηθεί ο σύνδεσμος του εκάστοτε ερωτηματολογίου στους χρήστες με κάποιο τρόπο (πχ μέσω email). Οι διαχειριστές του συστήματος θα είναι σε θέση να συνθέσουν τα ερωτηματολόγια σε ένα φιλικό web περιβάλλον καθώς και να συλλέξουν το ιστορικά των απαντήσεων για το ερωτηματολόγιο της επιλογής τους.</w:t>
      </w:r>
      <w:r>
        <w:rPr>
          <w:sz w:val="24"/>
        </w:rPr>
        <w:t xml:space="preserve"> </w:t>
      </w:r>
    </w:p>
    <w:p>
      <w:pPr>
        <w:pStyle w:val="Normal"/>
        <w:numPr>
          <w:ilvl w:val="0"/>
          <w:numId w:val="1"/>
        </w:numPr>
        <w:jc w:val="left"/>
        <w:rPr/>
      </w:pPr>
      <w:r>
        <w:rPr>
          <w:rFonts w:eastAsia="SansSerif" w:cs="SansSerif" w:ascii="SansSerif" w:hAnsi="SansSerif"/>
          <w:color w:val="000000"/>
          <w:sz w:val="24"/>
        </w:rPr>
        <w:t xml:space="preserve">Μίας </w:t>
      </w:r>
      <w:r>
        <w:rPr>
          <w:rFonts w:eastAsia="SansSerif" w:cs="SansSerif" w:ascii="SansSerif" w:hAnsi="SansSerif"/>
          <w:b/>
          <w:color w:val="000000"/>
          <w:sz w:val="24"/>
        </w:rPr>
        <w:t>εφαρμογής CLI</w:t>
      </w:r>
      <w:r>
        <w:rPr>
          <w:rFonts w:eastAsia="SansSerif" w:cs="SansSerif" w:ascii="SansSerif" w:hAnsi="SansSerif"/>
          <w:color w:val="000000"/>
          <w:sz w:val="24"/>
        </w:rPr>
        <w:t>, η οποία απευθύνεται σε διαχειριστές του συστήματος προκειμένου να εκτελούν λειτουργίες δημιουργίας χρήστη, ανάγνωσης και εγγραφή στα δεδομένα και διάφορες άλλες διαχειριστικές διαδικασίες.</w:t>
      </w:r>
      <w:r>
        <w:rPr>
          <w:sz w:val="24"/>
        </w:rPr>
        <w:t xml:space="preserve"> </w:t>
      </w:r>
    </w:p>
    <w:p>
      <w:pPr>
        <w:pStyle w:val="Normal"/>
        <w:rPr/>
      </w:pPr>
      <w:r>
        <w:rPr/>
      </w:r>
    </w:p>
    <w:p>
      <w:pPr>
        <w:pStyle w:val="Normal"/>
        <w:rPr/>
      </w:pPr>
      <w:r>
        <w:rPr>
          <w:rFonts w:eastAsia="SansSerif" w:cs="SansSerif" w:ascii="SansSerif" w:hAnsi="SansSerif"/>
          <w:sz w:val="24"/>
        </w:rPr>
        <w:t>Παρακάτω, επισυνάπτονται τα σχετικά wireframes.</w:t>
      </w:r>
    </w:p>
    <w:p>
      <w:pPr>
        <w:pStyle w:val="Normal"/>
        <w:rPr/>
      </w:pPr>
      <w:r>
        <w:rPr/>
      </w:r>
    </w:p>
    <w:p>
      <w:pPr>
        <w:pStyle w:val="Normal"/>
        <w:rPr/>
      </w:pPr>
      <w:r>
        <w:rPr/>
      </w:r>
    </w:p>
    <w:p>
      <w:pPr>
        <w:pStyle w:val="Heading1"/>
        <w:rPr/>
      </w:pPr>
      <w:bookmarkStart w:id="1" w:name="DSpP.KGGAqACBBSx"/>
      <w:r>
        <w:rPr/>
        <w:t>1. Login Page</w:t>
      </w:r>
      <w:bookmarkEnd w:id="1"/>
    </w:p>
    <w:p>
      <w:pPr>
        <w:pStyle w:val="Normal"/>
        <w:keepNext w:val="true"/>
        <w:jc w:val="center"/>
        <w:rPr/>
      </w:pPr>
      <w:r>
        <w:rPr/>
        <w:drawing>
          <wp:inline distT="0" distB="0" distL="0" distR="0">
            <wp:extent cx="6223000" cy="4673600"/>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3"/>
                    <a:stretch>
                      <a:fillRect/>
                    </a:stretch>
                  </pic:blipFill>
                  <pic:spPr bwMode="auto">
                    <a:xfrm>
                      <a:off x="0" y="0"/>
                      <a:ext cx="6223000" cy="4673600"/>
                    </a:xfrm>
                    <a:prstGeom prst="rect">
                      <a:avLst/>
                    </a:prstGeom>
                  </pic:spPr>
                </pic:pic>
              </a:graphicData>
            </a:graphic>
          </wp:inline>
        </w:drawing>
      </w:r>
    </w:p>
    <w:p>
      <w:pPr>
        <w:pStyle w:val="Normal"/>
        <w:rPr/>
      </w:pPr>
      <w:r>
        <w:rPr/>
      </w:r>
    </w:p>
    <w:p>
      <w:pPr>
        <w:pStyle w:val="Heading1"/>
        <w:rPr/>
      </w:pPr>
      <w:bookmarkStart w:id="2" w:name="eTkUTGGD.AACATlY"/>
      <w:r>
        <w:rPr/>
        <w:t>2. Admin Landing Page</w:t>
      </w:r>
      <w:bookmarkEnd w:id="2"/>
    </w:p>
    <w:p>
      <w:pPr>
        <w:pStyle w:val="Normal"/>
        <w:keepNext w:val="true"/>
        <w:jc w:val="center"/>
        <w:rPr/>
      </w:pPr>
      <w:r>
        <w:rPr/>
        <w:drawing>
          <wp:inline distT="0" distB="0" distL="0" distR="0">
            <wp:extent cx="6223000" cy="4673600"/>
            <wp:effectExtent l="0" t="0" r="0" b="0"/>
            <wp:docPr id="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
                    <pic:cNvPicPr>
                      <a:picLocks noChangeAspect="1" noChangeArrowheads="1"/>
                    </pic:cNvPicPr>
                  </pic:nvPicPr>
                  <pic:blipFill>
                    <a:blip r:embed="rId4"/>
                    <a:stretch>
                      <a:fillRect/>
                    </a:stretch>
                  </pic:blipFill>
                  <pic:spPr bwMode="auto">
                    <a:xfrm>
                      <a:off x="0" y="0"/>
                      <a:ext cx="6223000" cy="4673600"/>
                    </a:xfrm>
                    <a:prstGeom prst="rect">
                      <a:avLst/>
                    </a:prstGeom>
                  </pic:spPr>
                </pic:pic>
              </a:graphicData>
            </a:graphic>
          </wp:inline>
        </w:drawing>
      </w:r>
    </w:p>
    <w:p>
      <w:pPr>
        <w:pStyle w:val="Normal"/>
        <w:rPr/>
      </w:pPr>
      <w:r>
        <w:rPr/>
      </w:r>
    </w:p>
    <w:p>
      <w:pPr>
        <w:pStyle w:val="Heading1"/>
        <w:rPr/>
      </w:pPr>
      <w:bookmarkStart w:id="3" w:name="uPxHWKGGAqACBFzE"/>
      <w:r>
        <w:rPr/>
        <w:t>3. Περίπτωση Χρήσης 1 - Eπιλογή Ερωτηματολογίου </w:t>
      </w:r>
      <w:bookmarkEnd w:id="3"/>
    </w:p>
    <w:p>
      <w:pPr>
        <w:pStyle w:val="Normal"/>
        <w:keepNext w:val="true"/>
        <w:jc w:val="center"/>
        <w:rPr/>
      </w:pPr>
      <w:r>
        <w:rPr/>
        <w:drawing>
          <wp:inline distT="0" distB="0" distL="0" distR="0">
            <wp:extent cx="6223000" cy="4673600"/>
            <wp:effectExtent l="0" t="0" r="0" b="0"/>
            <wp:docPr id="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
                    <pic:cNvPicPr>
                      <a:picLocks noChangeAspect="1" noChangeArrowheads="1"/>
                    </pic:cNvPicPr>
                  </pic:nvPicPr>
                  <pic:blipFill>
                    <a:blip r:embed="rId5"/>
                    <a:stretch>
                      <a:fillRect/>
                    </a:stretch>
                  </pic:blipFill>
                  <pic:spPr bwMode="auto">
                    <a:xfrm>
                      <a:off x="0" y="0"/>
                      <a:ext cx="6223000" cy="4673600"/>
                    </a:xfrm>
                    <a:prstGeom prst="rect">
                      <a:avLst/>
                    </a:prstGeom>
                  </pic:spPr>
                </pic:pic>
              </a:graphicData>
            </a:graphic>
          </wp:inline>
        </w:drawing>
      </w:r>
    </w:p>
    <w:p>
      <w:pPr>
        <w:pStyle w:val="Normal"/>
        <w:rPr/>
      </w:pPr>
      <w:r>
        <w:rPr/>
      </w:r>
    </w:p>
    <w:p>
      <w:pPr>
        <w:pStyle w:val="Heading1"/>
        <w:rPr/>
      </w:pPr>
      <w:bookmarkStart w:id="4" w:name="MrCv.KGGAqACBBg7"/>
      <w:r>
        <w:rPr/>
        <w:t>4. Περίπτωση Χρήσης 1 - Aπάντηση Eρωτηματολογίου </w:t>
      </w:r>
      <w:bookmarkEnd w:id="4"/>
    </w:p>
    <w:p>
      <w:pPr>
        <w:pStyle w:val="Normal"/>
        <w:keepNext w:val="true"/>
        <w:jc w:val="center"/>
        <w:rPr/>
      </w:pPr>
      <w:r>
        <w:rPr/>
        <w:drawing>
          <wp:inline distT="0" distB="0" distL="0" distR="0">
            <wp:extent cx="6223000" cy="4673600"/>
            <wp:effectExtent l="0" t="0" r="0" b="0"/>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pic:cNvPicPr>
                      <a:picLocks noChangeAspect="1" noChangeArrowheads="1"/>
                    </pic:cNvPicPr>
                  </pic:nvPicPr>
                  <pic:blipFill>
                    <a:blip r:embed="rId6"/>
                    <a:stretch>
                      <a:fillRect/>
                    </a:stretch>
                  </pic:blipFill>
                  <pic:spPr bwMode="auto">
                    <a:xfrm>
                      <a:off x="0" y="0"/>
                      <a:ext cx="6223000" cy="4673600"/>
                    </a:xfrm>
                    <a:prstGeom prst="rect">
                      <a:avLst/>
                    </a:prstGeom>
                  </pic:spPr>
                </pic:pic>
              </a:graphicData>
            </a:graphic>
          </wp:inline>
        </w:drawing>
      </w:r>
    </w:p>
    <w:p>
      <w:pPr>
        <w:pStyle w:val="Normal"/>
        <w:rPr/>
      </w:pPr>
      <w:r>
        <w:rPr/>
      </w:r>
    </w:p>
    <w:p>
      <w:pPr>
        <w:pStyle w:val="Heading1"/>
        <w:rPr/>
      </w:pPr>
      <w:bookmarkStart w:id="5" w:name="7kcQTGGD.AACATYd"/>
      <w:r>
        <w:rPr/>
        <w:t>5. Περίπτωση Χρήσης 2 - Εμφάνιση Ιστορικού Απαντήσεων ανά Ερωτηματολόγιο</w:t>
      </w:r>
      <w:bookmarkEnd w:id="5"/>
    </w:p>
    <w:p>
      <w:pPr>
        <w:pStyle w:val="Normal"/>
        <w:keepNext w:val="true"/>
        <w:jc w:val="center"/>
        <w:rPr/>
      </w:pPr>
      <w:r>
        <w:rPr/>
        <w:drawing>
          <wp:inline distT="0" distB="0" distL="0" distR="0">
            <wp:extent cx="6223000" cy="4673600"/>
            <wp:effectExtent l="0" t="0" r="0" b="0"/>
            <wp:docPr id="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
                    <pic:cNvPicPr>
                      <a:picLocks noChangeAspect="1" noChangeArrowheads="1"/>
                    </pic:cNvPicPr>
                  </pic:nvPicPr>
                  <pic:blipFill>
                    <a:blip r:embed="rId7"/>
                    <a:stretch>
                      <a:fillRect/>
                    </a:stretch>
                  </pic:blipFill>
                  <pic:spPr bwMode="auto">
                    <a:xfrm>
                      <a:off x="0" y="0"/>
                      <a:ext cx="6223000" cy="4673600"/>
                    </a:xfrm>
                    <a:prstGeom prst="rect">
                      <a:avLst/>
                    </a:prstGeom>
                  </pic:spPr>
                </pic:pic>
              </a:graphicData>
            </a:graphic>
          </wp:inline>
        </w:drawing>
      </w:r>
    </w:p>
    <w:p>
      <w:pPr>
        <w:pStyle w:val="Normal"/>
        <w:rPr/>
      </w:pPr>
      <w:r>
        <w:rPr/>
      </w:r>
    </w:p>
    <w:p>
      <w:pPr>
        <w:pStyle w:val="Normal"/>
        <w:rPr/>
      </w:pPr>
      <w:r>
        <w:rPr/>
      </w:r>
    </w:p>
    <w:p>
      <w:pPr>
        <w:pStyle w:val="Normal"/>
        <w:rPr/>
      </w:pPr>
      <w:r>
        <w:rPr>
          <w:b/>
          <w:sz w:val="32"/>
        </w:rPr>
        <w:t>2. Αναφορές - πηγές πληροφοριών</w:t>
      </w:r>
      <w:r>
        <w:rPr/>
        <w:t xml:space="preserve"> </w:t>
      </w:r>
    </w:p>
    <w:p>
      <w:pPr>
        <w:pStyle w:val="Normal"/>
        <w:rPr/>
      </w:pPr>
      <w:r>
        <w:rPr/>
        <w:t xml:space="preserve"> </w:t>
      </w:r>
    </w:p>
    <w:p>
      <w:pPr>
        <w:pStyle w:val="Normal"/>
        <w:rPr/>
      </w:pPr>
      <w:r>
        <w:rPr>
          <w:sz w:val="32"/>
        </w:rPr>
        <w:t xml:space="preserve">Ν/Α      </w:t>
      </w:r>
    </w:p>
    <w:p>
      <w:pPr>
        <w:pStyle w:val="Normal"/>
        <w:rPr/>
      </w:pPr>
      <w:r>
        <w:rPr/>
      </w:r>
    </w:p>
    <w:p>
      <w:pPr>
        <w:pStyle w:val="Normal"/>
        <w:rPr/>
      </w:pPr>
      <w:r>
        <w:rPr>
          <w:b/>
          <w:sz w:val="32"/>
        </w:rPr>
        <w:t>3. Προδιαγραφές απαιτήσεων λογισμικού</w:t>
      </w:r>
    </w:p>
    <w:p>
      <w:pPr>
        <w:pStyle w:val="Normal"/>
        <w:rPr/>
      </w:pPr>
      <w:r>
        <w:rPr/>
      </w:r>
    </w:p>
    <w:p>
      <w:pPr>
        <w:pStyle w:val="Normal"/>
        <w:rPr/>
      </w:pPr>
      <w:r>
        <w:rPr>
          <w:b/>
          <w:sz w:val="28"/>
        </w:rPr>
        <w:t xml:space="preserve">3.1 Περιπτώσεις χρήσης </w:t>
      </w:r>
      <w:r>
        <w:rPr/>
        <w:t xml:space="preserve"> </w:t>
      </w:r>
    </w:p>
    <w:p>
      <w:pPr>
        <w:pStyle w:val="Normal"/>
        <w:rPr/>
      </w:pPr>
      <w:r>
        <w:rPr/>
        <w:t xml:space="preserve"> </w:t>
      </w:r>
    </w:p>
    <w:p>
      <w:pPr>
        <w:pStyle w:val="Normal"/>
        <w:rPr/>
      </w:pPr>
      <w:r>
        <w:rPr>
          <w:sz w:val="24"/>
        </w:rPr>
        <w:t xml:space="preserve">Στην παρούσα υλοποίηση οι περιπτώσεις χρήσης (use cases) είναι δύο. Η απάντηση του ερωτηματολογίου καθώς και η προβολή του ιστορικού απαντήσεων των ερωτηματολογίων. Η πρώτη περίπτωση χρήσης απευθύνεται στον τελικό χρήστη της πλατφόρμας ενώ η δεύτερη περίπτωση χρήσης στους διαχειριστές της πλατφόρμας. </w:t>
      </w:r>
      <w:r>
        <w:rPr/>
        <w:t xml:space="preserve"> </w:t>
      </w:r>
    </w:p>
    <w:p>
      <w:pPr>
        <w:pStyle w:val="Normal"/>
        <w:rPr/>
      </w:pPr>
      <w:r>
        <w:rPr>
          <w:sz w:val="24"/>
        </w:rPr>
        <w:t>Επισυνάπτεται το use case diagram στο οποίο απεικονίζονται οι δύο περιπτώσεις χρήσης.</w:t>
      </w:r>
    </w:p>
    <w:p>
      <w:pPr>
        <w:pStyle w:val="Normal"/>
        <w:rPr/>
      </w:pPr>
      <w:r>
        <w:rPr/>
      </w:r>
    </w:p>
    <w:p>
      <w:pPr>
        <w:pStyle w:val="Heading1"/>
        <w:rPr/>
      </w:pPr>
      <w:bookmarkStart w:id="6" w:name="11UGcyGD.AACASGS"/>
      <w:r>
        <w:rPr/>
        <w:t>1. Περιπτώσεις Χρήσης</w:t>
      </w:r>
      <w:bookmarkEnd w:id="6"/>
    </w:p>
    <w:p>
      <w:pPr>
        <w:pStyle w:val="Normal"/>
        <w:keepNext w:val="true"/>
        <w:jc w:val="center"/>
        <w:rPr/>
      </w:pPr>
      <w:r>
        <w:rPr/>
        <w:drawing>
          <wp:inline distT="0" distB="0" distL="0" distR="0">
            <wp:extent cx="3873500" cy="6248400"/>
            <wp:effectExtent l="0" t="0" r="0" b="0"/>
            <wp:docPr id="7"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descr=""/>
                    <pic:cNvPicPr>
                      <a:picLocks noChangeAspect="1" noChangeArrowheads="1"/>
                    </pic:cNvPicPr>
                  </pic:nvPicPr>
                  <pic:blipFill>
                    <a:blip r:embed="rId8"/>
                    <a:stretch>
                      <a:fillRect/>
                    </a:stretch>
                  </pic:blipFill>
                  <pic:spPr bwMode="auto">
                    <a:xfrm>
                      <a:off x="0" y="0"/>
                      <a:ext cx="3873500" cy="6248400"/>
                    </a:xfrm>
                    <a:prstGeom prst="rect">
                      <a:avLst/>
                    </a:prstGeom>
                  </pic:spPr>
                </pic:pic>
              </a:graphicData>
            </a:graphic>
          </wp:inline>
        </w:drawing>
      </w:r>
    </w:p>
    <w:p>
      <w:pPr>
        <w:pStyle w:val="Normal"/>
        <w:rPr/>
      </w:pPr>
      <w:r>
        <w:rPr/>
      </w:r>
    </w:p>
    <w:p>
      <w:pPr>
        <w:pStyle w:val="Normal"/>
        <w:rPr/>
      </w:pPr>
      <w:r>
        <w:rPr>
          <w:b/>
          <w:sz w:val="24"/>
        </w:rPr>
        <w:t>3.1.1 ΠΕΡΙΠΤΩΣΗ ΧΡΗΣΗΣ 1: Απάντηση Ερωτηματολογίου</w:t>
      </w:r>
    </w:p>
    <w:p>
      <w:pPr>
        <w:pStyle w:val="Normal"/>
        <w:rPr/>
      </w:pPr>
      <w:r>
        <w:rPr/>
      </w:r>
    </w:p>
    <w:p>
      <w:pPr>
        <w:pStyle w:val="Normal"/>
        <w:rPr/>
      </w:pPr>
      <w:r>
        <w:rPr>
          <w:b/>
          <w:sz w:val="24"/>
        </w:rPr>
        <w:t xml:space="preserve">3.1.1.1 Χρήστες (ρόλοι) που εμπλέκονται </w:t>
      </w:r>
      <w:r>
        <w:rPr/>
        <w:t xml:space="preserve"> </w:t>
      </w:r>
    </w:p>
    <w:p>
      <w:pPr>
        <w:pStyle w:val="Normal"/>
        <w:rPr/>
      </w:pPr>
      <w:r>
        <w:rPr/>
        <w:t xml:space="preserve"> </w:t>
      </w:r>
    </w:p>
    <w:p>
      <w:pPr>
        <w:pStyle w:val="Normal"/>
        <w:rPr/>
      </w:pPr>
      <w:r>
        <w:rPr>
          <w:sz w:val="24"/>
        </w:rPr>
        <w:t>Για την απάντηση ερωτηματολογίου άμεσα εμπλεκόμενοι είναι οι τελικοί χρήστες της πλατφόρμας intelliQ, οι οποίοι καλούνται να απαντήσουν και να υποβάλλουν το εκάστοτε ερωτηματολόγιο. Τέλος και οι ίδιοι οι διαχειριστές μπορούν να απαντήσουν στο ερωτηματολόγιο τους, ωστόσο δεν αποτελούν εκείνοι το επίκεντρο της συγκεκριμένης περίπτωσης χρήσης.</w:t>
      </w:r>
    </w:p>
    <w:p>
      <w:pPr>
        <w:pStyle w:val="Normal"/>
        <w:rPr/>
      </w:pPr>
      <w:r>
        <w:rPr/>
      </w:r>
    </w:p>
    <w:p>
      <w:pPr>
        <w:pStyle w:val="Normal"/>
        <w:rPr/>
      </w:pPr>
      <w:r>
        <w:rPr>
          <w:b/>
          <w:sz w:val="24"/>
        </w:rPr>
        <w:t xml:space="preserve">3.1.1.2 Προϋποθέσεις εκτέλεσης </w:t>
      </w:r>
      <w:r>
        <w:rPr/>
        <w:t xml:space="preserve"> </w:t>
      </w:r>
    </w:p>
    <w:p>
      <w:pPr>
        <w:pStyle w:val="Normal"/>
        <w:rPr/>
      </w:pPr>
      <w:r>
        <w:rPr/>
        <w:t xml:space="preserve"> </w:t>
      </w:r>
    </w:p>
    <w:p>
      <w:pPr>
        <w:pStyle w:val="Normal"/>
        <w:rPr/>
      </w:pPr>
      <w:r>
        <w:rPr>
          <w:sz w:val="24"/>
        </w:rPr>
        <w:t xml:space="preserve">Απαραίτητη προϋπόθεση για την εκτέλεση της συγκεκριμένης περίπτωσης χρήσης είναι οι χρήστες να έχουν εγγραφεί στην πλατφόρμα και εν συνεχεία να συνδεθούν εισάγοντας τα διαπιστευτήρια τους (username, password). Τέλος, προκειμένου να συμμετέχουν στην απάντηση του ερωτηματολογίου είναι επιβεβλημένο το ερωτηματολογίο να έχει δημιουργηθεί από κάποιον διαχειριστή, και να έχει δημοσιευτεί στον εκάστοτε χρήστη ο σχετικός σύνδεσμος (url link). Ο χρήστης στη συνέχεια κάνει επικόλληση του συνδέσμου στο browser της επιλογής του και προχωράει στην απάντηση του ερωτηματολογίου. Επίσης ο χρήστης οφείλει να απαντήσει σε μία ερώτηση πριν προχωρήσει στην επόμενη. </w:t>
      </w:r>
      <w:r>
        <w:rPr/>
        <w:t xml:space="preserve"> </w:t>
      </w:r>
    </w:p>
    <w:p>
      <w:pPr>
        <w:pStyle w:val="Normal"/>
        <w:rPr/>
      </w:pPr>
      <w:r>
        <w:rPr>
          <w:sz w:val="24"/>
        </w:rPr>
        <w:t>Σε περίπτωση απάντησης του ερωτηματολογίου μέσω cli θα πρέπει το αρχείο πριν το ανέβασμα στη βάση δεδομένων να είναι σε μορφή JSON, οι πληροφορίες που περίεχει να είναι συμβατές με τους περιορισμούς που έχουν τεθεί στη βάση δεδομένων και το αρχείο να είναι αποθηκεύμενο στο home directory του διαχειριστή.</w:t>
      </w:r>
    </w:p>
    <w:p>
      <w:pPr>
        <w:pStyle w:val="Normal"/>
        <w:rPr/>
      </w:pPr>
      <w:r>
        <w:rPr/>
      </w:r>
    </w:p>
    <w:p>
      <w:pPr>
        <w:pStyle w:val="Normal"/>
        <w:rPr/>
      </w:pPr>
      <w:r>
        <w:rPr>
          <w:b/>
        </w:rPr>
        <w:t>3.1.1.3 Περιβάλλον εκτέλεσης</w:t>
      </w:r>
      <w:r>
        <w:rPr/>
        <w:t xml:space="preserve"> </w:t>
      </w:r>
    </w:p>
    <w:p>
      <w:pPr>
        <w:pStyle w:val="Normal"/>
        <w:rPr/>
      </w:pPr>
      <w:r>
        <w:rPr/>
        <w:t xml:space="preserve"> </w:t>
      </w:r>
    </w:p>
    <w:p>
      <w:pPr>
        <w:pStyle w:val="Normal"/>
        <w:rPr/>
      </w:pPr>
      <w:r>
        <w:rPr/>
        <w:t>Η συγκεκριμένη περίπτωση χρήσης απαιτεί ένα web browser και γίνεται μέσω κατάλληλης σελίδας της διαδικτυακής εφαρμογής. Αν και η εκτέλεση πραγματοποείται στο browser του τελικού χρήστη, παράλληλα γίνεται χρήση του REST API καθώς και της βάσης δεδομένων της εφαρμογής μας. Στη περίπτωση όπου το ερωτηματολόγιο απαντάται μέσω CLI τότε το περιβάλλον εκτέλεσης είναι το τερματικό του εκάστοτε διαχειριστή.</w:t>
      </w:r>
    </w:p>
    <w:p>
      <w:pPr>
        <w:pStyle w:val="Normal"/>
        <w:rPr/>
      </w:pPr>
      <w:r>
        <w:rPr/>
      </w:r>
    </w:p>
    <w:p>
      <w:pPr>
        <w:pStyle w:val="Normal"/>
        <w:rPr/>
      </w:pPr>
      <w:r>
        <w:rPr>
          <w:b/>
        </w:rPr>
        <w:t>3.1.1.4 Δεδομένα εισόδου</w:t>
      </w:r>
      <w:r>
        <w:rPr/>
        <w:t xml:space="preserve"> </w:t>
      </w:r>
    </w:p>
    <w:p>
      <w:pPr>
        <w:pStyle w:val="Normal"/>
        <w:rPr/>
      </w:pPr>
      <w:r>
        <w:rPr/>
        <w:t xml:space="preserve"> </w:t>
      </w:r>
    </w:p>
    <w:p>
      <w:pPr>
        <w:pStyle w:val="Normal"/>
        <w:rPr/>
      </w:pPr>
      <w:r>
        <w:rPr/>
        <w:t>Απαραίτητο για την απάντηση του ερωτηματολογίου είναι ο χρήστης να εισάγει το κατάλληλο σύνδεσμο του ερωτηματολογίου, προκειμένου να προχωρήσει μετέπειτα στην απάντησή του.</w:t>
      </w:r>
    </w:p>
    <w:p>
      <w:pPr>
        <w:pStyle w:val="Normal"/>
        <w:rPr/>
      </w:pPr>
      <w:r>
        <w:rPr/>
      </w:r>
    </w:p>
    <w:p>
      <w:pPr>
        <w:pStyle w:val="Normal"/>
        <w:rPr/>
      </w:pPr>
      <w:r>
        <w:rPr>
          <w:b/>
        </w:rPr>
        <w:t>3.1.1.5 Αλληλουχία ενεργειών - επιθυμητή συμπεριφορά</w:t>
      </w:r>
      <w:r>
        <w:rPr/>
        <w:t xml:space="preserve"> </w:t>
      </w:r>
    </w:p>
    <w:p>
      <w:pPr>
        <w:pStyle w:val="Normal"/>
        <w:rPr/>
      </w:pPr>
      <w:r>
        <w:rPr/>
        <w:t xml:space="preserve"> </w:t>
      </w:r>
    </w:p>
    <w:p>
      <w:pPr>
        <w:pStyle w:val="Normal"/>
        <w:rPr/>
      </w:pPr>
      <w:r>
        <w:rPr/>
        <w:t xml:space="preserve">Έχουμε την παρακάτω αλληλουχία ενεργειών: </w:t>
      </w:r>
    </w:p>
    <w:p>
      <w:pPr>
        <w:pStyle w:val="Normal"/>
        <w:numPr>
          <w:ilvl w:val="0"/>
          <w:numId w:val="2"/>
        </w:numPr>
        <w:rPr/>
      </w:pPr>
      <w:r>
        <w:rPr/>
        <w:t xml:space="preserve">Είσοδος Του Χρήστη Στην Πλατφόρμα </w:t>
      </w:r>
    </w:p>
    <w:p>
      <w:pPr>
        <w:pStyle w:val="Normal"/>
        <w:numPr>
          <w:ilvl w:val="0"/>
          <w:numId w:val="2"/>
        </w:numPr>
        <w:rPr/>
      </w:pPr>
      <w:r>
        <w:rPr/>
        <w:t xml:space="preserve">Αναζήτηση Ερωτηματολογίου </w:t>
      </w:r>
    </w:p>
    <w:p>
      <w:pPr>
        <w:pStyle w:val="Normal"/>
        <w:numPr>
          <w:ilvl w:val="0"/>
          <w:numId w:val="2"/>
        </w:numPr>
        <w:rPr/>
      </w:pPr>
      <w:r>
        <w:rPr/>
        <w:t xml:space="preserve">Απάντηση Στις Ερωτήσεις </w:t>
      </w:r>
    </w:p>
    <w:p>
      <w:pPr>
        <w:pStyle w:val="Normal"/>
        <w:numPr>
          <w:ilvl w:val="0"/>
          <w:numId w:val="2"/>
        </w:numPr>
        <w:rPr/>
      </w:pPr>
      <w:r>
        <w:rPr/>
        <w:t xml:space="preserve">Υποβολή Φόρμας </w:t>
      </w:r>
    </w:p>
    <w:p>
      <w:pPr>
        <w:pStyle w:val="Normal"/>
        <w:numPr>
          <w:ilvl w:val="0"/>
          <w:numId w:val="2"/>
        </w:numPr>
        <w:rPr/>
      </w:pPr>
      <w:r>
        <w:rPr/>
        <w:t xml:space="preserve">Εμφάνιση Μηνύματος: Οι απαντήσεις Σας Καταχωρήθηκαν </w:t>
      </w:r>
    </w:p>
    <w:p>
      <w:pPr>
        <w:pStyle w:val="Normal"/>
        <w:rPr/>
      </w:pPr>
      <w:r>
        <w:rPr/>
        <w:t xml:space="preserve"> </w:t>
      </w:r>
    </w:p>
    <w:p>
      <w:pPr>
        <w:pStyle w:val="Normal"/>
        <w:rPr/>
      </w:pPr>
      <w:r>
        <w:rPr/>
        <w:t>Επισυνάπτεται το γενικό activity diagram που απεικονίζει τις παραπάνω ενέργεις καθώς και ειδικά activity diagrams που αφορούν τις ενέργειες 2, 3.</w:t>
      </w:r>
    </w:p>
    <w:p>
      <w:pPr>
        <w:pStyle w:val="Normal"/>
        <w:rPr/>
      </w:pPr>
      <w:r>
        <w:rPr/>
      </w:r>
    </w:p>
    <w:p>
      <w:pPr>
        <w:pStyle w:val="Heading1"/>
        <w:rPr/>
      </w:pPr>
      <w:bookmarkStart w:id="7" w:name="YPeRcyGD.AACATJf"/>
      <w:r>
        <w:rPr/>
        <w:t>1. Απάντηση Ερωτηματολογίου-Activity Diagram</w:t>
      </w:r>
      <w:bookmarkEnd w:id="7"/>
    </w:p>
    <w:p>
      <w:pPr>
        <w:pStyle w:val="Normal"/>
        <w:keepNext w:val="true"/>
        <w:jc w:val="center"/>
        <w:rPr/>
      </w:pPr>
      <w:r>
        <w:rPr/>
        <w:drawing>
          <wp:inline distT="0" distB="0" distL="0" distR="0">
            <wp:extent cx="6210300" cy="7810500"/>
            <wp:effectExtent l="0" t="0" r="0" b="0"/>
            <wp:docPr id="8"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descr=""/>
                    <pic:cNvPicPr>
                      <a:picLocks noChangeAspect="1" noChangeArrowheads="1"/>
                    </pic:cNvPicPr>
                  </pic:nvPicPr>
                  <pic:blipFill>
                    <a:blip r:embed="rId9"/>
                    <a:stretch>
                      <a:fillRect/>
                    </a:stretch>
                  </pic:blipFill>
                  <pic:spPr bwMode="auto">
                    <a:xfrm>
                      <a:off x="0" y="0"/>
                      <a:ext cx="6210300" cy="7810500"/>
                    </a:xfrm>
                    <a:prstGeom prst="rect">
                      <a:avLst/>
                    </a:prstGeom>
                  </pic:spPr>
                </pic:pic>
              </a:graphicData>
            </a:graphic>
          </wp:inline>
        </w:drawing>
      </w:r>
    </w:p>
    <w:p>
      <w:pPr>
        <w:pStyle w:val="Normal"/>
        <w:rPr/>
      </w:pPr>
      <w:r>
        <w:rPr/>
      </w:r>
    </w:p>
    <w:p>
      <w:pPr>
        <w:pStyle w:val="Heading1"/>
        <w:rPr/>
      </w:pPr>
      <w:bookmarkStart w:id="8" w:name="tkgxcyGD.AACATRC"/>
      <w:r>
        <w:rPr/>
        <w:t>2. Αναζήτηση Ερωτηματολογίου-Activity Diagram</w:t>
      </w:r>
      <w:bookmarkEnd w:id="8"/>
    </w:p>
    <w:p>
      <w:pPr>
        <w:pStyle w:val="Normal"/>
        <w:keepNext w:val="true"/>
        <w:jc w:val="center"/>
        <w:rPr/>
      </w:pPr>
      <w:r>
        <w:rPr/>
        <w:drawing>
          <wp:inline distT="0" distB="0" distL="0" distR="0">
            <wp:extent cx="6223000" cy="6565900"/>
            <wp:effectExtent l="0" t="0" r="0" b="0"/>
            <wp:docPr id="9"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png" descr=""/>
                    <pic:cNvPicPr>
                      <a:picLocks noChangeAspect="1" noChangeArrowheads="1"/>
                    </pic:cNvPicPr>
                  </pic:nvPicPr>
                  <pic:blipFill>
                    <a:blip r:embed="rId10"/>
                    <a:stretch>
                      <a:fillRect/>
                    </a:stretch>
                  </pic:blipFill>
                  <pic:spPr bwMode="auto">
                    <a:xfrm>
                      <a:off x="0" y="0"/>
                      <a:ext cx="6223000" cy="6565900"/>
                    </a:xfrm>
                    <a:prstGeom prst="rect">
                      <a:avLst/>
                    </a:prstGeom>
                  </pic:spPr>
                </pic:pic>
              </a:graphicData>
            </a:graphic>
          </wp:inline>
        </w:drawing>
      </w:r>
    </w:p>
    <w:p>
      <w:pPr>
        <w:pStyle w:val="Normal"/>
        <w:rPr/>
      </w:pPr>
      <w:r>
        <w:rPr/>
      </w:r>
    </w:p>
    <w:p>
      <w:pPr>
        <w:pStyle w:val="Heading1"/>
        <w:rPr/>
      </w:pPr>
      <w:bookmarkStart w:id="9" w:name="I7WxcyGD.AACATiM"/>
      <w:r>
        <w:rPr/>
        <w:t>3. Απάντηση Στις Ερωτήσεις-Activity Diagram</w:t>
      </w:r>
      <w:bookmarkEnd w:id="9"/>
    </w:p>
    <w:p>
      <w:pPr>
        <w:pStyle w:val="Normal"/>
        <w:keepNext w:val="true"/>
        <w:jc w:val="center"/>
        <w:rPr/>
      </w:pPr>
      <w:r>
        <w:rPr/>
        <w:drawing>
          <wp:inline distT="0" distB="0" distL="0" distR="0">
            <wp:extent cx="5562600" cy="6807200"/>
            <wp:effectExtent l="0" t="0" r="0" b="0"/>
            <wp:docPr id="1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descr=""/>
                    <pic:cNvPicPr>
                      <a:picLocks noChangeAspect="1" noChangeArrowheads="1"/>
                    </pic:cNvPicPr>
                  </pic:nvPicPr>
                  <pic:blipFill>
                    <a:blip r:embed="rId11"/>
                    <a:stretch>
                      <a:fillRect/>
                    </a:stretch>
                  </pic:blipFill>
                  <pic:spPr bwMode="auto">
                    <a:xfrm>
                      <a:off x="0" y="0"/>
                      <a:ext cx="5562600" cy="6807200"/>
                    </a:xfrm>
                    <a:prstGeom prst="rect">
                      <a:avLst/>
                    </a:prstGeom>
                  </pic:spPr>
                </pic:pic>
              </a:graphicData>
            </a:graphic>
          </wp:inline>
        </w:drawing>
      </w:r>
    </w:p>
    <w:p>
      <w:pPr>
        <w:pStyle w:val="Normal"/>
        <w:rPr/>
      </w:pPr>
      <w:r>
        <w:rPr/>
      </w:r>
    </w:p>
    <w:p>
      <w:pPr>
        <w:pStyle w:val="Normal"/>
        <w:rPr/>
      </w:pPr>
      <w:r>
        <w:rPr/>
        <w:t>Επισυνάπτεται και το σχετικό sequence diagram.</w:t>
      </w:r>
    </w:p>
    <w:p>
      <w:pPr>
        <w:pStyle w:val="Heading1"/>
        <w:rPr/>
      </w:pPr>
      <w:bookmarkStart w:id="10" w:name="sKLHcyGD.AACAUxa"/>
      <w:r>
        <w:rPr/>
        <w:t>1. Απάντηση Ερωτηματολογίου-Sequence Diagram</w:t>
      </w:r>
      <w:bookmarkEnd w:id="10"/>
    </w:p>
    <w:p>
      <w:pPr>
        <w:pStyle w:val="Normal"/>
        <w:keepNext w:val="true"/>
        <w:jc w:val="center"/>
        <w:rPr/>
      </w:pPr>
      <w:r>
        <w:rPr/>
        <w:drawing>
          <wp:inline distT="0" distB="0" distL="0" distR="0">
            <wp:extent cx="6210300" cy="2806700"/>
            <wp:effectExtent l="0" t="0" r="0" b="0"/>
            <wp:docPr id="11"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png" descr=""/>
                    <pic:cNvPicPr>
                      <a:picLocks noChangeAspect="1" noChangeArrowheads="1"/>
                    </pic:cNvPicPr>
                  </pic:nvPicPr>
                  <pic:blipFill>
                    <a:blip r:embed="rId12"/>
                    <a:stretch>
                      <a:fillRect/>
                    </a:stretch>
                  </pic:blipFill>
                  <pic:spPr bwMode="auto">
                    <a:xfrm>
                      <a:off x="0" y="0"/>
                      <a:ext cx="6210300" cy="2806700"/>
                    </a:xfrm>
                    <a:prstGeom prst="rect">
                      <a:avLst/>
                    </a:prstGeom>
                  </pic:spPr>
                </pic:pic>
              </a:graphicData>
            </a:graphic>
          </wp:inline>
        </w:drawing>
      </w:r>
    </w:p>
    <w:p>
      <w:pPr>
        <w:pStyle w:val="Normal"/>
        <w:rPr/>
      </w:pPr>
      <w:r>
        <w:rPr/>
      </w:r>
    </w:p>
    <w:p>
      <w:pPr>
        <w:pStyle w:val="Normal"/>
        <w:rPr/>
      </w:pPr>
      <w:r>
        <w:rPr/>
        <w:t xml:space="preserve"> </w:t>
      </w:r>
    </w:p>
    <w:p>
      <w:pPr>
        <w:pStyle w:val="Normal"/>
        <w:rPr/>
      </w:pPr>
      <w:r>
        <w:rPr>
          <w:b/>
        </w:rPr>
        <w:t>3.1.1.7 Δεδομένα εξόδου</w:t>
      </w:r>
      <w:r>
        <w:rPr/>
        <w:t xml:space="preserve"> </w:t>
      </w:r>
    </w:p>
    <w:p>
      <w:pPr>
        <w:pStyle w:val="Normal"/>
        <w:rPr/>
      </w:pPr>
      <w:r>
        <w:rPr/>
        <w:t xml:space="preserve"> </w:t>
      </w:r>
    </w:p>
    <w:p>
      <w:pPr>
        <w:pStyle w:val="Normal"/>
        <w:rPr/>
      </w:pPr>
      <w:r>
        <w:rPr/>
        <w:t>Έξοδος  αυτής της περίπτωσης χρήσης  αποτελεί το μήνυμα επιβεβαιώσης που αποστέλλεται στον χρήστη μετά το πέρας της υποβολής της φόρμας ή κάποιο μήνυμα σφάλματος σε περίπτωση αποτυχίας (αν για παράδειγμα πέσει ο server πριν την υποβολή ενός ερωτηματολογίου).</w:t>
      </w:r>
    </w:p>
    <w:p>
      <w:pPr>
        <w:pStyle w:val="Normal"/>
        <w:rPr/>
      </w:pPr>
      <w:r>
        <w:rPr/>
      </w:r>
    </w:p>
    <w:p>
      <w:pPr>
        <w:pStyle w:val="Normal"/>
        <w:rPr/>
      </w:pPr>
      <w:r>
        <w:rPr/>
        <w:t xml:space="preserve"> </w:t>
      </w:r>
    </w:p>
    <w:p>
      <w:pPr>
        <w:pStyle w:val="Normal"/>
        <w:rPr/>
      </w:pPr>
      <w:r>
        <w:rPr>
          <w:b/>
          <w:sz w:val="24"/>
        </w:rPr>
        <w:t xml:space="preserve">3.1.1.8 Παρατηρήσεις  </w:t>
      </w:r>
      <w:r>
        <w:rPr/>
        <w:t xml:space="preserve"> </w:t>
      </w:r>
    </w:p>
    <w:p>
      <w:pPr>
        <w:pStyle w:val="Normal"/>
        <w:rPr/>
      </w:pPr>
      <w:r>
        <w:rPr/>
        <w:t xml:space="preserve"> </w:t>
      </w:r>
    </w:p>
    <w:p>
      <w:pPr>
        <w:pStyle w:val="Normal"/>
        <w:rPr/>
      </w:pPr>
      <w:r>
        <w:rPr>
          <w:sz w:val="24"/>
        </w:rPr>
        <w:t xml:space="preserve">Ν/Α  </w:t>
      </w:r>
    </w:p>
    <w:p>
      <w:pPr>
        <w:pStyle w:val="Normal"/>
        <w:rPr/>
      </w:pPr>
      <w:r>
        <w:rPr/>
      </w:r>
    </w:p>
    <w:p>
      <w:pPr>
        <w:pStyle w:val="Normal"/>
        <w:rPr/>
      </w:pPr>
      <w:r>
        <w:rPr>
          <w:b/>
          <w:sz w:val="24"/>
        </w:rPr>
        <w:t>3.1.2 ΠΕΡΙΠΤΩΣΗ ΧΡΗΣΗΣ 2: Ιστορικό απαντέσων ανά Ερωτηματολόγιο.</w:t>
      </w:r>
    </w:p>
    <w:p>
      <w:pPr>
        <w:pStyle w:val="Normal"/>
        <w:rPr/>
      </w:pPr>
      <w:r>
        <w:rPr/>
      </w:r>
    </w:p>
    <w:p>
      <w:pPr>
        <w:pStyle w:val="Normal"/>
        <w:rPr/>
      </w:pPr>
      <w:r>
        <w:rPr>
          <w:b/>
          <w:sz w:val="24"/>
        </w:rPr>
        <w:t xml:space="preserve">3.1.2.1 Χρήστες (ρόλοι) που εμπλέκονται </w:t>
      </w:r>
      <w:r>
        <w:rPr/>
        <w:t xml:space="preserve"> </w:t>
      </w:r>
    </w:p>
    <w:p>
      <w:pPr>
        <w:pStyle w:val="Normal"/>
        <w:rPr/>
      </w:pPr>
      <w:r>
        <w:rPr/>
        <w:t xml:space="preserve"> </w:t>
      </w:r>
    </w:p>
    <w:p>
      <w:pPr>
        <w:pStyle w:val="Normal"/>
        <w:rPr/>
      </w:pPr>
      <w:r>
        <w:rPr>
          <w:sz w:val="24"/>
        </w:rPr>
        <w:t>Για την εμφάνιση του ιστορικού απαντήσεων ανά ερωτηματολόγιο άμεσα εμπλεκόμενοι είναι μόνο οι διαχειριστές της πλατφόρμας intelliQ.</w:t>
      </w:r>
    </w:p>
    <w:p>
      <w:pPr>
        <w:pStyle w:val="Normal"/>
        <w:rPr/>
      </w:pPr>
      <w:r>
        <w:rPr/>
      </w:r>
    </w:p>
    <w:p>
      <w:pPr>
        <w:pStyle w:val="Normal"/>
        <w:rPr/>
      </w:pPr>
      <w:r>
        <w:rPr>
          <w:b/>
          <w:sz w:val="24"/>
        </w:rPr>
        <w:t xml:space="preserve">3.1.2.2 Προϋποθέσεις εκτέλεσης </w:t>
      </w:r>
      <w:r>
        <w:rPr/>
        <w:t xml:space="preserve"> </w:t>
      </w:r>
    </w:p>
    <w:p>
      <w:pPr>
        <w:pStyle w:val="Normal"/>
        <w:rPr/>
      </w:pPr>
      <w:r>
        <w:rPr/>
        <w:t xml:space="preserve"> </w:t>
      </w:r>
    </w:p>
    <w:p>
      <w:pPr>
        <w:pStyle w:val="Normal"/>
        <w:rPr/>
      </w:pPr>
      <w:r>
        <w:rPr>
          <w:sz w:val="24"/>
        </w:rPr>
        <w:t xml:space="preserve">Απαραίτητη προϋπόθεση για την εκτέλεση της συγκεκριμένης περίπτωσης χρήσης είναι οι διαχειριστές να έχουν συνδεθεί στην πλατφόρμα εισάγοντας τα διαπιστευτήρια τους (username, password). </w:t>
      </w:r>
    </w:p>
    <w:p>
      <w:pPr>
        <w:pStyle w:val="Normal"/>
        <w:rPr/>
      </w:pPr>
      <w:r>
        <w:rPr/>
      </w:r>
    </w:p>
    <w:p>
      <w:pPr>
        <w:pStyle w:val="Normal"/>
        <w:rPr/>
      </w:pPr>
      <w:r>
        <w:rPr>
          <w:b/>
        </w:rPr>
        <w:t>3.1.2.3 Περιβάλλον εκτέλεσης</w:t>
      </w:r>
      <w:r>
        <w:rPr/>
        <w:t xml:space="preserve"> </w:t>
      </w:r>
    </w:p>
    <w:p>
      <w:pPr>
        <w:pStyle w:val="Normal"/>
        <w:rPr/>
      </w:pPr>
      <w:r>
        <w:rPr/>
        <w:t xml:space="preserve"> </w:t>
      </w:r>
    </w:p>
    <w:p>
      <w:pPr>
        <w:pStyle w:val="Normal"/>
        <w:rPr/>
      </w:pPr>
      <w:r>
        <w:rPr/>
        <w:t>Η συγκεκριμένη περίπτωση χρήσης απαιτεί ένα web browser και γίνεται μέσω κατάλληλης σελίδας της διαδικτυακής εφαρμογής. Αν και η εκτέλεση πραγματοποείται στο browser του τελικού διαχειριστή, παράλληλα γίνεται χρήση του REST API καθώς και της βάσης δεδομένων της εφαρμογής μας.</w:t>
      </w:r>
    </w:p>
    <w:p>
      <w:pPr>
        <w:pStyle w:val="Normal"/>
        <w:rPr/>
      </w:pPr>
      <w:r>
        <w:rPr/>
      </w:r>
    </w:p>
    <w:p>
      <w:pPr>
        <w:pStyle w:val="Normal"/>
        <w:rPr/>
      </w:pPr>
      <w:r>
        <w:rPr>
          <w:b/>
        </w:rPr>
        <w:t>3.1.2.4 Δεδομένα εισόδου</w:t>
      </w:r>
      <w:r>
        <w:rPr/>
        <w:t xml:space="preserve"> </w:t>
      </w:r>
    </w:p>
    <w:p>
      <w:pPr>
        <w:pStyle w:val="Normal"/>
        <w:rPr/>
      </w:pPr>
      <w:r>
        <w:rPr/>
        <w:t xml:space="preserve"> </w:t>
      </w:r>
    </w:p>
    <w:p>
      <w:pPr>
        <w:pStyle w:val="Normal"/>
        <w:rPr/>
      </w:pPr>
      <w:r>
        <w:rPr/>
        <w:t>Απαραίτητο για την εμφάνιση του ιστορικού των απαντήσεων είναι ο διαχειριστής να επιλέξει το ερωτηματολόγιο για το οποίο ενδιαφέρεται. Εν συνεχεία, έχει την επιλογή να συλλέξει τα αποτελέσματα είτε με γράφημα πίτας είτε με γράφημα στήλης.</w:t>
      </w:r>
    </w:p>
    <w:p>
      <w:pPr>
        <w:pStyle w:val="Normal"/>
        <w:rPr/>
      </w:pPr>
      <w:r>
        <w:rPr/>
      </w:r>
    </w:p>
    <w:p>
      <w:pPr>
        <w:pStyle w:val="Normal"/>
        <w:rPr/>
      </w:pPr>
      <w:r>
        <w:rPr>
          <w:b/>
        </w:rPr>
        <w:t>3.1.2.5 Αλληλουχία ενεργειών - επιθυμητή συμπεριφορά</w:t>
      </w:r>
      <w:r>
        <w:rPr/>
        <w:t xml:space="preserve"> </w:t>
      </w:r>
    </w:p>
    <w:p>
      <w:pPr>
        <w:pStyle w:val="Normal"/>
        <w:rPr/>
      </w:pPr>
      <w:r>
        <w:rPr/>
        <w:t xml:space="preserve"> </w:t>
      </w:r>
    </w:p>
    <w:p>
      <w:pPr>
        <w:pStyle w:val="Normal"/>
        <w:rPr/>
      </w:pPr>
      <w:r>
        <w:rPr/>
        <w:t xml:space="preserve">Έχουμε την παρακάτω αλληλουχία ενεργειών: </w:t>
      </w:r>
    </w:p>
    <w:p>
      <w:pPr>
        <w:pStyle w:val="Normal"/>
        <w:numPr>
          <w:ilvl w:val="0"/>
          <w:numId w:val="3"/>
        </w:numPr>
        <w:rPr/>
      </w:pPr>
      <w:r>
        <w:rPr/>
        <w:t xml:space="preserve">Είσοδος του Διαχειριστή Στην Πλατφόρμα </w:t>
      </w:r>
    </w:p>
    <w:p>
      <w:pPr>
        <w:pStyle w:val="Normal"/>
        <w:numPr>
          <w:ilvl w:val="0"/>
          <w:numId w:val="3"/>
        </w:numPr>
        <w:rPr/>
      </w:pPr>
      <w:r>
        <w:rPr/>
        <w:t xml:space="preserve">Επιλογή: Γράφημα με απαντήσεις ανα ερώτηση  </w:t>
      </w:r>
    </w:p>
    <w:p>
      <w:pPr>
        <w:pStyle w:val="Normal"/>
        <w:numPr>
          <w:ilvl w:val="0"/>
          <w:numId w:val="3"/>
        </w:numPr>
        <w:rPr/>
      </w:pPr>
      <w:r>
        <w:rPr/>
        <w:t xml:space="preserve">Αναζήτηση Ερωτηματολογίου </w:t>
      </w:r>
    </w:p>
    <w:p>
      <w:pPr>
        <w:pStyle w:val="Normal"/>
        <w:numPr>
          <w:ilvl w:val="0"/>
          <w:numId w:val="3"/>
        </w:numPr>
        <w:rPr/>
      </w:pPr>
      <w:r>
        <w:rPr/>
        <w:t xml:space="preserve">Επιλογή γραφήματος ανά ερώτηση </w:t>
      </w:r>
    </w:p>
    <w:p>
      <w:pPr>
        <w:pStyle w:val="Normal"/>
        <w:numPr>
          <w:ilvl w:val="0"/>
          <w:numId w:val="3"/>
        </w:numPr>
        <w:rPr/>
      </w:pPr>
      <w:r>
        <w:rPr/>
        <w:t xml:space="preserve">Εμφάνιση Αποτελεσμάτων </w:t>
      </w:r>
    </w:p>
    <w:p>
      <w:pPr>
        <w:pStyle w:val="Normal"/>
        <w:rPr/>
      </w:pPr>
      <w:r>
        <w:rPr/>
        <w:t xml:space="preserve"> </w:t>
      </w:r>
    </w:p>
    <w:p>
      <w:pPr>
        <w:pStyle w:val="Normal"/>
        <w:rPr/>
      </w:pPr>
      <w:r>
        <w:rPr/>
        <w:t xml:space="preserve">Επισυνάπτεται το γενικό activity diagram που απεικονίζει τις παραπάνω ενέργεις. </w:t>
      </w:r>
    </w:p>
    <w:p>
      <w:pPr>
        <w:pStyle w:val="Normal"/>
        <w:rPr/>
      </w:pPr>
      <w:r>
        <w:rPr/>
      </w:r>
    </w:p>
    <w:p>
      <w:pPr>
        <w:pStyle w:val="Heading1"/>
        <w:rPr/>
      </w:pPr>
      <w:bookmarkStart w:id="11" w:name="AqXSByGD.AACAXWK"/>
      <w:r>
        <w:rPr/>
        <w:t>1. Ιστορικό Απαντήσεων ανά Ερωτηματολόγιο</w:t>
      </w:r>
      <w:bookmarkEnd w:id="11"/>
    </w:p>
    <w:p>
      <w:pPr>
        <w:pStyle w:val="Normal"/>
        <w:keepNext w:val="true"/>
        <w:jc w:val="center"/>
        <w:rPr/>
      </w:pPr>
      <w:r>
        <w:rPr/>
        <w:drawing>
          <wp:inline distT="0" distB="0" distL="0" distR="0">
            <wp:extent cx="5346700" cy="7378700"/>
            <wp:effectExtent l="0" t="0" r="0" b="0"/>
            <wp:docPr id="12"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png" descr=""/>
                    <pic:cNvPicPr>
                      <a:picLocks noChangeAspect="1" noChangeArrowheads="1"/>
                    </pic:cNvPicPr>
                  </pic:nvPicPr>
                  <pic:blipFill>
                    <a:blip r:embed="rId13"/>
                    <a:stretch>
                      <a:fillRect/>
                    </a:stretch>
                  </pic:blipFill>
                  <pic:spPr bwMode="auto">
                    <a:xfrm>
                      <a:off x="0" y="0"/>
                      <a:ext cx="5346700" cy="7378700"/>
                    </a:xfrm>
                    <a:prstGeom prst="rect">
                      <a:avLst/>
                    </a:prstGeom>
                  </pic:spPr>
                </pic:pic>
              </a:graphicData>
            </a:graphic>
          </wp:inline>
        </w:drawing>
      </w:r>
    </w:p>
    <w:p>
      <w:pPr>
        <w:pStyle w:val="Normal"/>
        <w:rPr/>
      </w:pPr>
      <w:r>
        <w:rPr/>
      </w:r>
    </w:p>
    <w:p>
      <w:pPr>
        <w:pStyle w:val="Normal"/>
        <w:rPr/>
      </w:pPr>
      <w:r>
        <w:rPr/>
        <w:t>Επισυνάπτεται και το σχετικό sequence diagram.</w:t>
      </w:r>
    </w:p>
    <w:p>
      <w:pPr>
        <w:pStyle w:val="Heading1"/>
        <w:rPr/>
      </w:pPr>
      <w:bookmarkStart w:id="12" w:name="UzHSByGD.AACAXKQ"/>
      <w:r>
        <w:rPr/>
        <w:t>1. Ιστορικό Απαντήσεων ανά Ερωτηματολόγιο</w:t>
      </w:r>
      <w:bookmarkEnd w:id="12"/>
    </w:p>
    <w:p>
      <w:pPr>
        <w:pStyle w:val="Normal"/>
        <w:keepNext w:val="true"/>
        <w:jc w:val="center"/>
        <w:rPr/>
      </w:pPr>
      <w:r>
        <w:rPr/>
        <w:drawing>
          <wp:inline distT="0" distB="0" distL="0" distR="0">
            <wp:extent cx="6210300" cy="4457700"/>
            <wp:effectExtent l="0" t="0" r="0" b="0"/>
            <wp:docPr id="13"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png" descr=""/>
                    <pic:cNvPicPr>
                      <a:picLocks noChangeAspect="1" noChangeArrowheads="1"/>
                    </pic:cNvPicPr>
                  </pic:nvPicPr>
                  <pic:blipFill>
                    <a:blip r:embed="rId14"/>
                    <a:stretch>
                      <a:fillRect/>
                    </a:stretch>
                  </pic:blipFill>
                  <pic:spPr bwMode="auto">
                    <a:xfrm>
                      <a:off x="0" y="0"/>
                      <a:ext cx="6210300" cy="4457700"/>
                    </a:xfrm>
                    <a:prstGeom prst="rect">
                      <a:avLst/>
                    </a:prstGeom>
                  </pic:spPr>
                </pic:pic>
              </a:graphicData>
            </a:graphic>
          </wp:inline>
        </w:drawing>
      </w:r>
    </w:p>
    <w:p>
      <w:pPr>
        <w:pStyle w:val="Normal"/>
        <w:rPr/>
      </w:pPr>
      <w:r>
        <w:rPr/>
      </w:r>
    </w:p>
    <w:p>
      <w:pPr>
        <w:pStyle w:val="Normal"/>
        <w:rPr/>
      </w:pPr>
      <w:r>
        <w:rPr>
          <w:b/>
        </w:rPr>
        <w:t>3.1.2.7 Δεδομένα εξόδου</w:t>
      </w:r>
      <w:r>
        <w:rPr/>
        <w:t xml:space="preserve"> </w:t>
      </w:r>
    </w:p>
    <w:p>
      <w:pPr>
        <w:pStyle w:val="Normal"/>
        <w:rPr/>
      </w:pPr>
      <w:r>
        <w:rPr/>
        <w:t xml:space="preserve"> </w:t>
      </w:r>
    </w:p>
    <w:p>
      <w:pPr>
        <w:pStyle w:val="Normal"/>
        <w:rPr/>
      </w:pPr>
      <w:r>
        <w:rPr/>
        <w:t>Έξοδος  αυτής της περίπτωσης χρήσης αποτελούν τα γραφήματα με το ιστορικό των απαντήσεων. Σε περίπτωση όπου ένα ερωτηματολόγιο δεν έχει απαντηθεί τότε τα αντίστοιχα γραφήματα είναι κενά, καθώς δεν περιέχουν δεδομένα προς απεικόνιση.</w:t>
      </w:r>
    </w:p>
    <w:p>
      <w:pPr>
        <w:pStyle w:val="Normal"/>
        <w:rPr/>
      </w:pPr>
      <w:r>
        <w:rPr/>
      </w:r>
    </w:p>
    <w:p>
      <w:pPr>
        <w:pStyle w:val="Normal"/>
        <w:rPr/>
      </w:pPr>
      <w:r>
        <w:rPr>
          <w:b/>
          <w:sz w:val="24"/>
        </w:rPr>
        <w:t xml:space="preserve">3.1.1.8 Παρατηρήσεις  </w:t>
      </w:r>
      <w:r>
        <w:rPr/>
        <w:t xml:space="preserve"> </w:t>
      </w:r>
    </w:p>
    <w:p>
      <w:pPr>
        <w:pStyle w:val="Normal"/>
        <w:rPr/>
      </w:pPr>
      <w:r>
        <w:rPr/>
        <w:t xml:space="preserve"> </w:t>
      </w:r>
    </w:p>
    <w:p>
      <w:pPr>
        <w:pStyle w:val="Normal"/>
        <w:rPr/>
      </w:pPr>
      <w:r>
        <w:rPr>
          <w:sz w:val="24"/>
        </w:rPr>
        <w:t xml:space="preserve">Ν/Α  </w:t>
      </w:r>
    </w:p>
    <w:p>
      <w:pPr>
        <w:pStyle w:val="Normal"/>
        <w:rPr/>
      </w:pPr>
      <w:r>
        <w:rPr/>
      </w:r>
    </w:p>
    <w:p>
      <w:pPr>
        <w:pStyle w:val="Normal"/>
        <w:rPr/>
      </w:pPr>
      <w:r>
        <w:rPr/>
        <w:t xml:space="preserve"> </w:t>
      </w:r>
    </w:p>
    <w:p>
      <w:pPr>
        <w:pStyle w:val="Normal"/>
        <w:rPr/>
      </w:pPr>
      <w:r>
        <w:rPr>
          <w:b/>
          <w:sz w:val="28"/>
        </w:rPr>
        <w:t xml:space="preserve">3.2 Απαιτήσεις επιδόσεων </w:t>
      </w:r>
      <w:r>
        <w:rPr/>
        <w:t xml:space="preserve"> </w:t>
      </w:r>
    </w:p>
    <w:p>
      <w:pPr>
        <w:pStyle w:val="Normal"/>
        <w:rPr/>
      </w:pPr>
      <w:r>
        <w:rPr/>
        <w:t xml:space="preserve"> </w:t>
      </w:r>
    </w:p>
    <w:p>
      <w:pPr>
        <w:pStyle w:val="Normal"/>
        <w:numPr>
          <w:ilvl w:val="0"/>
          <w:numId w:val="4"/>
        </w:numPr>
        <w:rPr/>
      </w:pPr>
      <w:r>
        <w:rPr>
          <w:sz w:val="24"/>
        </w:rPr>
        <w:t xml:space="preserve">Tα δεδομένα εισόδου που εισάγουν οι διαχειριστές της εφαρμογής intelliQ αναμένονται να είναι μικρά σε ογκό, καθώς το περιεχόμενο ενός ερωτηματολογίου περιέχει λεκτικές ερωτήσεις και απαντήσεις. Ωστόσο απαραίτητη είναι η ταυτόχρονη εξυπηρέτηση μεγάλου όγκου εισαγωγής ερωτηματολογίων. Ο χρόνος απόκρισης της εφαρμογής είτε σε αιτήματα εισαγωγής είτε σε αιτήματα εύρεσης ερωτηματολογίου αναμένεται να είναι τάξης μεγέθους ms, ώστε η εμπειρία του χρήστη να μην επηρεάζεται αρνητικά.  </w:t>
      </w:r>
    </w:p>
    <w:p>
      <w:pPr>
        <w:pStyle w:val="Normal"/>
        <w:numPr>
          <w:ilvl w:val="0"/>
          <w:numId w:val="4"/>
        </w:numPr>
        <w:rPr/>
      </w:pPr>
      <w:r>
        <w:rPr>
          <w:sz w:val="24"/>
        </w:rPr>
        <w:t xml:space="preserve">Οποιαδήποτε αύξηση των δεδομένων προς αποθήκευση απαιτεί και την αντίστοιχη γραμμική αύξηση των διαθέσιμων πόρων, όπως είναι ο αποθηκευτικός χώρος της βάσης δεδομένων. </w:t>
      </w:r>
    </w:p>
    <w:p>
      <w:pPr>
        <w:pStyle w:val="Normal"/>
        <w:numPr>
          <w:ilvl w:val="0"/>
          <w:numId w:val="4"/>
        </w:numPr>
        <w:rPr/>
      </w:pPr>
      <w:r>
        <w:rPr>
          <w:sz w:val="24"/>
        </w:rPr>
        <w:t xml:space="preserve">Ανίχνευση και διάκριση των σφαλμάτων είναι απαραίτητα για τη συντήρηση και τη προστασία της πλατφόρμας. </w:t>
      </w:r>
    </w:p>
    <w:p>
      <w:pPr>
        <w:pStyle w:val="Normal"/>
        <w:numPr>
          <w:ilvl w:val="0"/>
          <w:numId w:val="4"/>
        </w:numPr>
        <w:rPr/>
      </w:pPr>
      <w:r>
        <w:rPr>
          <w:sz w:val="24"/>
        </w:rPr>
        <w:t xml:space="preserve">Σε περιπτώσεις αυξημένης ζήτησης δεδομένων, προτιμάται η εξασφάλιση της διαθεσιμότητας με τίμημα την αύξηση του χρόνου επίδοσης. </w:t>
      </w:r>
    </w:p>
    <w:p>
      <w:pPr>
        <w:pStyle w:val="Normal"/>
        <w:numPr>
          <w:ilvl w:val="0"/>
          <w:numId w:val="4"/>
        </w:numPr>
        <w:rPr/>
      </w:pPr>
      <w:r>
        <w:rPr>
          <w:sz w:val="24"/>
        </w:rPr>
        <w:t xml:space="preserve">Το λογισμικό θα πρέπει να είναι διαθέσιμο 24/7. </w:t>
      </w:r>
    </w:p>
    <w:p>
      <w:pPr>
        <w:pStyle w:val="Normal"/>
        <w:rPr/>
      </w:pPr>
      <w:r>
        <w:rPr/>
      </w:r>
    </w:p>
    <w:p>
      <w:pPr>
        <w:pStyle w:val="Normal"/>
        <w:rPr/>
      </w:pPr>
      <w:r>
        <w:rPr>
          <w:b/>
          <w:sz w:val="28"/>
        </w:rPr>
        <w:t>3.3 Απαιτήσεις οργάνωσης δεδομένων</w:t>
      </w:r>
    </w:p>
    <w:p>
      <w:pPr>
        <w:pStyle w:val="Normal"/>
        <w:rPr/>
      </w:pPr>
      <w:r>
        <w:rPr/>
      </w:r>
    </w:p>
    <w:p>
      <w:pPr>
        <w:pStyle w:val="Normal"/>
        <w:rPr/>
      </w:pPr>
      <w:r>
        <w:rPr/>
        <w:t>Επισυνάπτεται το noSQL schema της βάσης δεδομένων μας.</w:t>
      </w:r>
    </w:p>
    <w:p>
      <w:pPr>
        <w:pStyle w:val="Heading1"/>
        <w:rPr/>
      </w:pPr>
      <w:bookmarkStart w:id="13" w:name="Skny.yGD.AACAROl"/>
      <w:r>
        <w:rPr/>
        <w:t>1. Class Diagram</w:t>
      </w:r>
      <w:bookmarkEnd w:id="13"/>
    </w:p>
    <w:p>
      <w:pPr>
        <w:pStyle w:val="Normal"/>
        <w:keepNext w:val="true"/>
        <w:jc w:val="center"/>
        <w:rPr/>
      </w:pPr>
      <w:r>
        <w:rPr/>
        <w:drawing>
          <wp:inline distT="0" distB="0" distL="0" distR="0">
            <wp:extent cx="5638800" cy="4203700"/>
            <wp:effectExtent l="0" t="0" r="0" b="0"/>
            <wp:docPr id="14"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descr=""/>
                    <pic:cNvPicPr>
                      <a:picLocks noChangeAspect="1" noChangeArrowheads="1"/>
                    </pic:cNvPicPr>
                  </pic:nvPicPr>
                  <pic:blipFill>
                    <a:blip r:embed="rId15"/>
                    <a:stretch>
                      <a:fillRect/>
                    </a:stretch>
                  </pic:blipFill>
                  <pic:spPr bwMode="auto">
                    <a:xfrm>
                      <a:off x="0" y="0"/>
                      <a:ext cx="5638800" cy="4203700"/>
                    </a:xfrm>
                    <a:prstGeom prst="rect">
                      <a:avLst/>
                    </a:prstGeom>
                  </pic:spPr>
                </pic:pic>
              </a:graphicData>
            </a:graphic>
          </wp:inline>
        </w:drawing>
      </w:r>
    </w:p>
    <w:p>
      <w:pPr>
        <w:pStyle w:val="Normal"/>
        <w:rPr/>
      </w:pPr>
      <w:r>
        <w:rPr/>
      </w:r>
    </w:p>
    <w:p>
      <w:pPr>
        <w:pStyle w:val="Normal"/>
        <w:rPr/>
      </w:pPr>
      <w:r>
        <w:rPr>
          <w:b/>
        </w:rPr>
        <w:t>3.3.1 Απαιτήσεις και περιορισμοί πρόσβασης σε δεδομένα</w:t>
      </w:r>
    </w:p>
    <w:p>
      <w:pPr>
        <w:pStyle w:val="Normal"/>
        <w:rPr/>
      </w:pPr>
      <w:r>
        <w:rPr/>
      </w:r>
    </w:p>
    <w:p>
      <w:pPr>
        <w:pStyle w:val="Normal"/>
        <w:rPr/>
      </w:pPr>
      <w:r>
        <w:rPr/>
        <w:t>Βασικός περιορισμός στην πρόσβαση στα δεδομένα οριοθετείται εξαρχής από την ιδιότητα του χρήστη. Αν ο χρήστης είναι διαχειριστής τότε έχει την ικανότητα να συνθέτει ερωτηματολόγια και να βλέπει ιστορικό απαντήσεων για αυτά. Αν όμως πρόκειται για ένα απλό χρήστη τότε η μόνη δυνατότητα που του παρέχεται είναι η απάντηση ερωτηματολογίου. Ως αποτέλεσμα σε ένα απλό χρήστη δε του επιτρέπεται η δυνατότητα να έχει πρόσβαση στις ερωτήσεις άλλων ερωτηματολογίων εκτός από εκείνα στα οποία του έχει κοινοποιηθεί ο σύνδεσμος.</w:t>
      </w:r>
    </w:p>
    <w:p>
      <w:pPr>
        <w:pStyle w:val="Normal"/>
        <w:rPr/>
      </w:pPr>
      <w:r>
        <w:rPr/>
      </w:r>
    </w:p>
    <w:p>
      <w:pPr>
        <w:pStyle w:val="Normal"/>
        <w:rPr/>
      </w:pPr>
      <w:r>
        <w:rPr>
          <w:b/>
          <w:sz w:val="28"/>
        </w:rPr>
        <w:t>3.5 Λοιπές απαιτήσεις</w:t>
      </w:r>
    </w:p>
    <w:p>
      <w:pPr>
        <w:pStyle w:val="Normal"/>
        <w:rPr/>
      </w:pPr>
      <w:r>
        <w:rPr/>
      </w:r>
    </w:p>
    <w:p>
      <w:pPr>
        <w:pStyle w:val="Normal"/>
        <w:rPr/>
      </w:pPr>
      <w:r>
        <w:rPr>
          <w:b/>
        </w:rPr>
        <w:t>3.5.1 Απαιτήσεις διαθεσιμότητας λογισμικού</w:t>
      </w:r>
    </w:p>
    <w:p>
      <w:pPr>
        <w:pStyle w:val="Normal"/>
        <w:rPr/>
      </w:pPr>
      <w:r>
        <w:rPr/>
      </w:r>
    </w:p>
    <w:p>
      <w:pPr>
        <w:pStyle w:val="Normal"/>
        <w:rPr/>
      </w:pPr>
      <w:r>
        <w:rPr/>
        <w:t xml:space="preserve">Η εφαρμογή είναι επιθυμητό να είναι διαθέσιμη 24/7. Επιπλέον είναι επιθυμητή η χρήση αντιγράφων της βάσης δεδομένων ώστε τα δεδομένα να παραμένουν ασφαλή και έτοιμα προς απεικόνιση. Στην παρούσα έκδοση της πλατφόρμας υπάρχουν οι παρακάτω 2 κατηγορίες χρηστών με τα αντίστοιχα δικαιώματα. </w:t>
      </w:r>
    </w:p>
    <w:p>
      <w:pPr>
        <w:pStyle w:val="Normal"/>
        <w:rPr/>
      </w:pPr>
      <w:r>
        <w:rPr/>
        <w:t xml:space="preserve"> </w:t>
      </w:r>
    </w:p>
    <w:p>
      <w:pPr>
        <w:pStyle w:val="Normal"/>
        <w:rPr/>
      </w:pPr>
      <w:r>
        <w:rPr/>
      </w:r>
    </w:p>
    <w:p>
      <w:pPr>
        <w:pStyle w:val="Normal"/>
        <w:rPr/>
      </w:pPr>
      <w:r>
        <w:rPr/>
      </w:r>
    </w:p>
    <w:tbl>
      <w:tblPr>
        <w:tblW w:w="9094" w:type="dxa"/>
        <w:jc w:val="left"/>
        <w:tblInd w:w="28" w:type="dxa"/>
        <w:tblLayout w:type="fixed"/>
        <w:tblCellMar>
          <w:top w:w="28" w:type="dxa"/>
          <w:left w:w="28" w:type="dxa"/>
          <w:bottom w:w="28" w:type="dxa"/>
          <w:right w:w="28" w:type="dxa"/>
        </w:tblCellMar>
      </w:tblPr>
      <w:tblGrid>
        <w:gridCol w:w="3303"/>
        <w:gridCol w:w="2902"/>
        <w:gridCol w:w="2889"/>
      </w:tblGrid>
      <w:tr>
        <w:trPr/>
        <w:tc>
          <w:tcPr>
            <w:tcW w:w="3303" w:type="dxa"/>
            <w:tcBorders/>
            <w:vAlign w:val="center"/>
          </w:tcPr>
          <w:p>
            <w:pPr>
              <w:pStyle w:val="TableContents"/>
              <w:widowControl w:val="false"/>
              <w:ind w:left="0" w:hanging="0"/>
              <w:jc w:val="center"/>
              <w:rPr/>
            </w:pPr>
            <w:r>
              <w:rPr>
                <w:rFonts w:ascii="Calibri;serif" w:hAnsi="Calibri;serif"/>
                <w:sz w:val="18"/>
                <w:lang w:val="en-US"/>
              </w:rPr>
              <w:t>Type Of User</w:t>
            </w:r>
          </w:p>
        </w:tc>
        <w:tc>
          <w:tcPr>
            <w:tcW w:w="2902" w:type="dxa"/>
            <w:tcBorders/>
            <w:vAlign w:val="center"/>
          </w:tcPr>
          <w:p>
            <w:pPr>
              <w:pStyle w:val="TableContents"/>
              <w:widowControl w:val="false"/>
              <w:ind w:left="0" w:hanging="0"/>
              <w:jc w:val="center"/>
              <w:rPr/>
            </w:pPr>
            <w:r>
              <w:rPr>
                <w:rFonts w:ascii="Calibri;serif" w:hAnsi="Calibri;serif"/>
                <w:sz w:val="18"/>
              </w:rPr>
              <w:t>Administrator</w:t>
            </w:r>
          </w:p>
        </w:tc>
        <w:tc>
          <w:tcPr>
            <w:tcW w:w="2889" w:type="dxa"/>
            <w:tcBorders/>
            <w:vAlign w:val="center"/>
          </w:tcPr>
          <w:p>
            <w:pPr>
              <w:pStyle w:val="TableContents"/>
              <w:widowControl w:val="false"/>
              <w:ind w:left="0" w:hanging="0"/>
              <w:jc w:val="center"/>
              <w:rPr/>
            </w:pPr>
            <w:r>
              <w:rPr>
                <w:rFonts w:ascii="Calibri;serif" w:hAnsi="Calibri;serif"/>
                <w:sz w:val="18"/>
              </w:rPr>
              <w:t>User</w:t>
            </w:r>
          </w:p>
        </w:tc>
      </w:tr>
      <w:tr>
        <w:trPr/>
        <w:tc>
          <w:tcPr>
            <w:tcW w:w="3303" w:type="dxa"/>
            <w:tcBorders/>
            <w:vAlign w:val="center"/>
          </w:tcPr>
          <w:p>
            <w:pPr>
              <w:pStyle w:val="TableContents"/>
              <w:widowControl w:val="false"/>
              <w:ind w:left="0" w:hanging="0"/>
              <w:jc w:val="center"/>
              <w:rPr/>
            </w:pPr>
            <w:r>
              <w:rPr>
                <w:rFonts w:ascii="Calibri;serif" w:hAnsi="Calibri;serif"/>
                <w:sz w:val="18"/>
                <w:lang w:val="en-US"/>
              </w:rPr>
              <w:t>F</w:t>
            </w:r>
            <w:r>
              <w:rPr>
                <w:rFonts w:ascii="Calibri;serif" w:hAnsi="Calibri;serif"/>
                <w:sz w:val="18"/>
              </w:rPr>
              <w:t>ront-</w:t>
            </w:r>
            <w:r>
              <w:rPr>
                <w:rFonts w:ascii="Calibri;serif" w:hAnsi="Calibri;serif"/>
                <w:sz w:val="18"/>
                <w:lang w:val="en-US"/>
              </w:rPr>
              <w:t>E</w:t>
            </w:r>
            <w:r>
              <w:rPr>
                <w:rFonts w:ascii="Calibri;serif" w:hAnsi="Calibri;serif"/>
                <w:sz w:val="18"/>
              </w:rPr>
              <w:t>nd access</w:t>
            </w:r>
          </w:p>
        </w:tc>
        <w:tc>
          <w:tcPr>
            <w:tcW w:w="2902" w:type="dxa"/>
            <w:tcBorders/>
            <w:vAlign w:val="center"/>
          </w:tcPr>
          <w:p>
            <w:pPr>
              <w:pStyle w:val="TableContents"/>
              <w:widowControl w:val="false"/>
              <w:ind w:left="0" w:hanging="0"/>
              <w:jc w:val="center"/>
              <w:rPr/>
            </w:pPr>
            <w:r>
              <w:rPr>
                <w:color w:val="70AD47"/>
              </w:rPr>
              <w:t>√</w:t>
            </w:r>
          </w:p>
        </w:tc>
        <w:tc>
          <w:tcPr>
            <w:tcW w:w="2889" w:type="dxa"/>
            <w:tcBorders/>
            <w:vAlign w:val="center"/>
          </w:tcPr>
          <w:p>
            <w:pPr>
              <w:pStyle w:val="TableContents"/>
              <w:widowControl w:val="false"/>
              <w:ind w:left="0" w:hanging="0"/>
              <w:jc w:val="center"/>
              <w:rPr/>
            </w:pPr>
            <w:r>
              <w:rPr>
                <w:color w:val="70AD47"/>
              </w:rPr>
              <w:t>√</w:t>
            </w:r>
          </w:p>
        </w:tc>
      </w:tr>
      <w:tr>
        <w:trPr/>
        <w:tc>
          <w:tcPr>
            <w:tcW w:w="3303" w:type="dxa"/>
            <w:tcBorders/>
            <w:vAlign w:val="center"/>
          </w:tcPr>
          <w:p>
            <w:pPr>
              <w:pStyle w:val="TableContents"/>
              <w:widowControl w:val="false"/>
              <w:ind w:left="0" w:hanging="0"/>
              <w:jc w:val="center"/>
              <w:rPr/>
            </w:pPr>
            <w:r>
              <w:rPr>
                <w:rFonts w:ascii="Calibri;serif" w:hAnsi="Calibri;serif"/>
                <w:sz w:val="18"/>
              </w:rPr>
              <w:t>CLI access</w:t>
            </w:r>
          </w:p>
        </w:tc>
        <w:tc>
          <w:tcPr>
            <w:tcW w:w="2902" w:type="dxa"/>
            <w:tcBorders/>
            <w:vAlign w:val="center"/>
          </w:tcPr>
          <w:p>
            <w:pPr>
              <w:pStyle w:val="TableContents"/>
              <w:widowControl w:val="false"/>
              <w:ind w:left="0" w:hanging="0"/>
              <w:jc w:val="center"/>
              <w:rPr/>
            </w:pPr>
            <w:r>
              <w:rPr>
                <w:color w:val="70AD47"/>
              </w:rPr>
              <w:t>√</w:t>
            </w:r>
          </w:p>
        </w:tc>
        <w:tc>
          <w:tcPr>
            <w:tcW w:w="2889" w:type="dxa"/>
            <w:tcBorders/>
            <w:vAlign w:val="center"/>
          </w:tcPr>
          <w:p>
            <w:pPr>
              <w:pStyle w:val="TableContents"/>
              <w:widowControl w:val="false"/>
              <w:ind w:left="0" w:hanging="0"/>
              <w:jc w:val="center"/>
              <w:rPr/>
            </w:pPr>
            <w:r>
              <w:rPr>
                <w:rFonts w:ascii="Calibri;serif" w:hAnsi="Calibri;serif"/>
                <w:color w:val="FF0000"/>
                <w:sz w:val="28"/>
                <w:lang w:val="en-US"/>
              </w:rPr>
              <w:t>-</w:t>
            </w:r>
          </w:p>
        </w:tc>
      </w:tr>
      <w:tr>
        <w:trPr/>
        <w:tc>
          <w:tcPr>
            <w:tcW w:w="3303" w:type="dxa"/>
            <w:tcBorders/>
            <w:vAlign w:val="center"/>
          </w:tcPr>
          <w:p>
            <w:pPr>
              <w:pStyle w:val="TableContents"/>
              <w:widowControl w:val="false"/>
              <w:ind w:left="0" w:hanging="0"/>
              <w:jc w:val="center"/>
              <w:rPr/>
            </w:pPr>
            <w:r>
              <w:rPr>
                <w:rFonts w:ascii="Calibri;serif" w:hAnsi="Calibri;serif"/>
                <w:sz w:val="18"/>
              </w:rPr>
              <w:t>Use Αdmin profile</w:t>
            </w:r>
          </w:p>
        </w:tc>
        <w:tc>
          <w:tcPr>
            <w:tcW w:w="2902" w:type="dxa"/>
            <w:tcBorders/>
            <w:vAlign w:val="center"/>
          </w:tcPr>
          <w:p>
            <w:pPr>
              <w:pStyle w:val="TableContents"/>
              <w:widowControl w:val="false"/>
              <w:ind w:left="0" w:hanging="0"/>
              <w:jc w:val="center"/>
              <w:rPr/>
            </w:pPr>
            <w:r>
              <w:rPr>
                <w:color w:val="70AD47"/>
              </w:rPr>
              <w:t>√</w:t>
            </w:r>
          </w:p>
        </w:tc>
        <w:tc>
          <w:tcPr>
            <w:tcW w:w="2889" w:type="dxa"/>
            <w:tcBorders/>
            <w:vAlign w:val="center"/>
          </w:tcPr>
          <w:p>
            <w:pPr>
              <w:pStyle w:val="TableContents"/>
              <w:widowControl w:val="false"/>
              <w:ind w:left="0" w:hanging="0"/>
              <w:jc w:val="center"/>
              <w:rPr/>
            </w:pPr>
            <w:r>
              <w:rPr>
                <w:rFonts w:ascii="Calibri;serif" w:hAnsi="Calibri;serif"/>
                <w:color w:val="FF0000"/>
                <w:sz w:val="28"/>
                <w:lang w:val="en-US"/>
              </w:rPr>
              <w:t>-</w:t>
            </w:r>
          </w:p>
        </w:tc>
      </w:tr>
      <w:tr>
        <w:trPr/>
        <w:tc>
          <w:tcPr>
            <w:tcW w:w="3303" w:type="dxa"/>
            <w:tcBorders/>
            <w:vAlign w:val="center"/>
          </w:tcPr>
          <w:p>
            <w:pPr>
              <w:pStyle w:val="TableContents"/>
              <w:widowControl w:val="false"/>
              <w:ind w:left="0" w:hanging="0"/>
              <w:jc w:val="center"/>
              <w:rPr/>
            </w:pPr>
            <w:r>
              <w:rPr>
                <w:rFonts w:ascii="Calibri;serif" w:hAnsi="Calibri;serif"/>
                <w:sz w:val="18"/>
                <w:lang w:val="en-US"/>
              </w:rPr>
              <w:t>Use REST API (GET/POST)</w:t>
            </w:r>
          </w:p>
        </w:tc>
        <w:tc>
          <w:tcPr>
            <w:tcW w:w="2902" w:type="dxa"/>
            <w:tcBorders/>
            <w:vAlign w:val="center"/>
          </w:tcPr>
          <w:p>
            <w:pPr>
              <w:pStyle w:val="TableContents"/>
              <w:widowControl w:val="false"/>
              <w:ind w:left="0" w:hanging="0"/>
              <w:jc w:val="center"/>
              <w:rPr/>
            </w:pPr>
            <w:r>
              <w:rPr>
                <w:color w:val="70AD47"/>
              </w:rPr>
              <w:t>√</w:t>
            </w:r>
          </w:p>
        </w:tc>
        <w:tc>
          <w:tcPr>
            <w:tcW w:w="2889" w:type="dxa"/>
            <w:tcBorders/>
            <w:vAlign w:val="center"/>
          </w:tcPr>
          <w:p>
            <w:pPr>
              <w:pStyle w:val="TableContents"/>
              <w:widowControl w:val="false"/>
              <w:ind w:left="0" w:hanging="0"/>
              <w:jc w:val="center"/>
              <w:rPr/>
            </w:pPr>
            <w:r>
              <w:rPr>
                <w:color w:val="70AD47"/>
              </w:rPr>
              <w:t>√</w:t>
            </w:r>
          </w:p>
        </w:tc>
      </w:tr>
      <w:tr>
        <w:trPr/>
        <w:tc>
          <w:tcPr>
            <w:tcW w:w="3303" w:type="dxa"/>
            <w:tcBorders/>
            <w:vAlign w:val="center"/>
          </w:tcPr>
          <w:p>
            <w:pPr>
              <w:pStyle w:val="TableContents"/>
              <w:widowControl w:val="false"/>
              <w:ind w:left="0" w:hanging="0"/>
              <w:jc w:val="center"/>
              <w:rPr/>
            </w:pPr>
            <w:r>
              <w:rPr>
                <w:rFonts w:ascii="Calibri;serif" w:hAnsi="Calibri;serif"/>
                <w:sz w:val="18"/>
                <w:lang w:val="en-US"/>
              </w:rPr>
              <w:t>Use REST API (GET/POST/DELETE)</w:t>
            </w:r>
          </w:p>
        </w:tc>
        <w:tc>
          <w:tcPr>
            <w:tcW w:w="2902" w:type="dxa"/>
            <w:tcBorders/>
            <w:vAlign w:val="center"/>
          </w:tcPr>
          <w:p>
            <w:pPr>
              <w:pStyle w:val="TableContents"/>
              <w:widowControl w:val="false"/>
              <w:ind w:left="0" w:hanging="0"/>
              <w:jc w:val="center"/>
              <w:rPr/>
            </w:pPr>
            <w:r>
              <w:rPr>
                <w:color w:val="70AD47"/>
              </w:rPr>
              <w:t>√</w:t>
            </w:r>
          </w:p>
        </w:tc>
        <w:tc>
          <w:tcPr>
            <w:tcW w:w="2889" w:type="dxa"/>
            <w:tcBorders/>
            <w:vAlign w:val="center"/>
          </w:tcPr>
          <w:p>
            <w:pPr>
              <w:pStyle w:val="TableContents"/>
              <w:widowControl w:val="false"/>
              <w:ind w:left="0" w:hanging="0"/>
              <w:jc w:val="center"/>
              <w:rPr/>
            </w:pPr>
            <w:r>
              <w:rPr>
                <w:rFonts w:ascii="Calibri;serif" w:hAnsi="Calibri;serif"/>
                <w:color w:val="FF0000"/>
                <w:sz w:val="28"/>
                <w:lang w:val="en-US"/>
              </w:rPr>
              <w:t>-</w:t>
            </w:r>
          </w:p>
        </w:tc>
      </w:tr>
    </w:tbl>
    <w:p>
      <w:pPr>
        <w:pStyle w:val="Normal"/>
        <w:rPr>
          <w:sz w:val="24"/>
        </w:rPr>
      </w:pPr>
      <w:r>
        <w:rPr/>
      </w:r>
    </w:p>
    <w:p>
      <w:pPr>
        <w:pStyle w:val="Normal"/>
        <w:rPr/>
      </w:pPr>
      <w:r>
        <w:rPr>
          <w:sz w:val="24"/>
        </w:rPr>
        <w:t>Ο απλός user κάνει χρήση του REST API μόνο για να συλλέξει ένα ερωτηματολόγιο από τη βάση δεδομένων και ύστερα να αποθηκεύσει τις απαντήσεις του πίσω στη βάση δεδομένων.</w:t>
      </w:r>
    </w:p>
    <w:p>
      <w:pPr>
        <w:pStyle w:val="Normal"/>
        <w:rPr/>
      </w:pPr>
      <w:r>
        <w:rPr/>
      </w:r>
    </w:p>
    <w:p>
      <w:pPr>
        <w:pStyle w:val="Normal"/>
        <w:rPr/>
      </w:pPr>
      <w:r>
        <w:rPr>
          <w:b/>
        </w:rPr>
        <w:t>3.5.2 Απαιτήσεις ασφάλειας</w:t>
      </w:r>
    </w:p>
    <w:p>
      <w:pPr>
        <w:pStyle w:val="Normal"/>
        <w:rPr/>
      </w:pPr>
      <w:r>
        <w:rPr/>
      </w:r>
    </w:p>
    <w:p>
      <w:pPr>
        <w:pStyle w:val="Normal"/>
        <w:rPr/>
      </w:pPr>
      <w:r>
        <w:rPr>
          <w:sz w:val="24"/>
        </w:rPr>
        <w:t xml:space="preserve"> </w:t>
      </w:r>
      <w:r>
        <w:rPr/>
        <w:t xml:space="preserve"> </w:t>
      </w:r>
    </w:p>
    <w:p>
      <w:pPr>
        <w:pStyle w:val="Normal"/>
        <w:numPr>
          <w:ilvl w:val="0"/>
          <w:numId w:val="5"/>
        </w:numPr>
        <w:jc w:val="left"/>
        <w:rPr/>
      </w:pPr>
      <w:r>
        <w:rPr>
          <w:color w:val="000000"/>
          <w:sz w:val="24"/>
        </w:rPr>
        <w:t>Οι κωδικοί πρόσβασης των χρηστών δε θα πρέπει να εμφανίζονται ή να αποθηκεύονται πουθενά αλλού σε υπολογιστή τρίτων εκτός της ΒΔ.</w:t>
      </w:r>
      <w:r>
        <w:rPr>
          <w:sz w:val="24"/>
        </w:rPr>
        <w:t xml:space="preserve"> </w:t>
      </w:r>
    </w:p>
    <w:p>
      <w:pPr>
        <w:pStyle w:val="Normal"/>
        <w:numPr>
          <w:ilvl w:val="0"/>
          <w:numId w:val="5"/>
        </w:numPr>
        <w:jc w:val="left"/>
        <w:rPr/>
      </w:pPr>
      <w:r>
        <w:rPr>
          <w:color w:val="000000"/>
          <w:sz w:val="24"/>
        </w:rPr>
        <w:t xml:space="preserve">Η διαδικτυακή εφαρμογή θα διατηρεί επιπλέον κάποια localstorage cookies, ώστε να μην απαιτείται η επαλήθευση των στοιχειών του χρήστη κάθε φορά από την ίδια συσκευή. </w:t>
      </w:r>
      <w:r>
        <w:rPr>
          <w:sz w:val="24"/>
        </w:rPr>
        <w:t xml:space="preserve"> </w:t>
      </w:r>
    </w:p>
    <w:p>
      <w:pPr>
        <w:pStyle w:val="Normal"/>
        <w:numPr>
          <w:ilvl w:val="0"/>
          <w:numId w:val="5"/>
        </w:numPr>
        <w:jc w:val="left"/>
        <w:rPr/>
      </w:pPr>
      <w:r>
        <w:rPr>
          <w:color w:val="000000"/>
          <w:sz w:val="24"/>
        </w:rPr>
        <w:t>Θα γίνεται αυτόματη έξοδος χρηστών που έχουν μείνει ανενεργοί για μεγάλο χρονικό διάστημα.</w:t>
      </w:r>
      <w:r>
        <w:rPr>
          <w:sz w:val="24"/>
        </w:rPr>
        <w:t xml:space="preserve"> </w:t>
      </w:r>
    </w:p>
    <w:sectPr>
      <w:type w:val="nextPage"/>
      <w:pgSz w:w="11906" w:h="16838"/>
      <w:pgMar w:left="960" w:right="960" w:gutter="0" w:header="0" w:top="960" w:footer="0" w:bottom="96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SansSerif">
    <w:altName w:val="Arial"/>
    <w:charset w:val="01"/>
    <w:family w:val="roman"/>
    <w:pitch w:val="variable"/>
  </w:font>
  <w:font w:name="Calibri">
    <w:altName w:val="serif"/>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right"/>
      <w:pPr>
        <w:tabs>
          <w:tab w:val="num" w:pos="720"/>
        </w:tabs>
        <w:ind w:left="720" w:hanging="360"/>
      </w:pPr>
      <w:rPr>
        <w:rFonts w:ascii="Symbol" w:hAnsi="Symbol" w:cs="Symbol" w:hint="default"/>
      </w:rPr>
    </w:lvl>
    <w:lvl w:ilvl="1">
      <w:start w:val="1"/>
      <w:numFmt w:val="decimal"/>
      <w:lvlText w:val="%1.%2."/>
      <w:lvlJc w:val="right"/>
      <w:pPr>
        <w:tabs>
          <w:tab w:val="num" w:pos="1440"/>
        </w:tabs>
        <w:ind w:left="1440" w:hanging="360"/>
      </w:pPr>
      <w:rPr/>
    </w:lvl>
    <w:lvl w:ilvl="2">
      <w:start w:val="1"/>
      <w:numFmt w:val="decimal"/>
      <w:lvlText w:val="%1.%2.%3."/>
      <w:lvlJc w:val="right"/>
      <w:pPr>
        <w:tabs>
          <w:tab w:val="num" w:pos="2160"/>
        </w:tabs>
        <w:ind w:left="2160" w:hanging="360"/>
      </w:pPr>
      <w:rPr/>
    </w:lvl>
    <w:lvl w:ilvl="3">
      <w:start w:val="1"/>
      <w:numFmt w:val="decimal"/>
      <w:lvlText w:val="%1.%2.%3.%4."/>
      <w:lvlJc w:val="right"/>
      <w:pPr>
        <w:tabs>
          <w:tab w:val="num" w:pos="2880"/>
        </w:tabs>
        <w:ind w:left="2880" w:hanging="360"/>
      </w:pPr>
      <w:rPr/>
    </w:lvl>
    <w:lvl w:ilvl="4">
      <w:start w:val="1"/>
      <w:numFmt w:val="decimal"/>
      <w:lvlText w:val="%1.%2.%3.%4.%5."/>
      <w:lvlJc w:val="right"/>
      <w:pPr>
        <w:tabs>
          <w:tab w:val="num" w:pos="3600"/>
        </w:tabs>
        <w:ind w:left="3600" w:hanging="360"/>
      </w:pPr>
      <w:rPr/>
    </w:lvl>
    <w:lvl w:ilvl="5">
      <w:start w:val="1"/>
      <w:numFmt w:val="decimal"/>
      <w:lvlText w:val="%1.%2.%3.%4.%5.%6."/>
      <w:lvlJc w:val="right"/>
      <w:pPr>
        <w:tabs>
          <w:tab w:val="num" w:pos="4320"/>
        </w:tabs>
        <w:ind w:left="4320" w:hanging="360"/>
      </w:pPr>
      <w:rPr/>
    </w:lvl>
    <w:lvl w:ilvl="6">
      <w:start w:val="1"/>
      <w:numFmt w:val="decimal"/>
      <w:lvlText w:val="%1.%2.%3.%4.%5.%6.%7."/>
      <w:lvlJc w:val="right"/>
      <w:pPr>
        <w:tabs>
          <w:tab w:val="num" w:pos="5040"/>
        </w:tabs>
        <w:ind w:left="5040" w:hanging="360"/>
      </w:pPr>
      <w:rPr/>
    </w:lvl>
    <w:lvl w:ilvl="7">
      <w:start w:val="1"/>
      <w:numFmt w:val="decimal"/>
      <w:lvlText w:val="%1.%2.%3.%4.%5.%6.%7.%8."/>
      <w:lvlJc w:val="right"/>
      <w:pPr>
        <w:tabs>
          <w:tab w:val="num" w:pos="5760"/>
        </w:tabs>
        <w:ind w:left="5760" w:hanging="360"/>
      </w:pPr>
      <w:rPr/>
    </w:lvl>
    <w:lvl w:ilvl="8">
      <w:start w:val="1"/>
      <w:numFmt w:val="decimal"/>
      <w:lvlText w:val="%1.%2.%3.%4.%5.%6.%7.%8.%9."/>
      <w:lvlJc w:val="right"/>
      <w:pPr>
        <w:tabs>
          <w:tab w:val="num" w:pos="6480"/>
        </w:tabs>
        <w:ind w:left="6480" w:hanging="360"/>
      </w:pPr>
      <w:rPr/>
    </w:lvl>
  </w:abstractNum>
  <w:abstractNum w:abstractNumId="2">
    <w:lvl w:ilvl="0">
      <w:start w:val="1"/>
      <w:numFmt w:val="decimal"/>
      <w:lvlText w:val="%1."/>
      <w:lvlJc w:val="right"/>
      <w:pPr>
        <w:tabs>
          <w:tab w:val="num" w:pos="720"/>
        </w:tabs>
        <w:ind w:left="720" w:hanging="360"/>
      </w:pPr>
      <w:rPr/>
    </w:lvl>
    <w:lvl w:ilvl="1">
      <w:start w:val="1"/>
      <w:numFmt w:val="decimal"/>
      <w:lvlText w:val="%1.%2."/>
      <w:lvlJc w:val="right"/>
      <w:pPr>
        <w:tabs>
          <w:tab w:val="num" w:pos="1440"/>
        </w:tabs>
        <w:ind w:left="1440" w:hanging="360"/>
      </w:pPr>
      <w:rPr/>
    </w:lvl>
    <w:lvl w:ilvl="2">
      <w:start w:val="1"/>
      <w:numFmt w:val="decimal"/>
      <w:lvlText w:val="%1.%2.%3."/>
      <w:lvlJc w:val="right"/>
      <w:pPr>
        <w:tabs>
          <w:tab w:val="num" w:pos="2160"/>
        </w:tabs>
        <w:ind w:left="2160" w:hanging="360"/>
      </w:pPr>
      <w:rPr/>
    </w:lvl>
    <w:lvl w:ilvl="3">
      <w:start w:val="1"/>
      <w:numFmt w:val="decimal"/>
      <w:lvlText w:val="%1.%2.%3.%4."/>
      <w:lvlJc w:val="right"/>
      <w:pPr>
        <w:tabs>
          <w:tab w:val="num" w:pos="2880"/>
        </w:tabs>
        <w:ind w:left="2880" w:hanging="360"/>
      </w:pPr>
      <w:rPr/>
    </w:lvl>
    <w:lvl w:ilvl="4">
      <w:start w:val="1"/>
      <w:numFmt w:val="decimal"/>
      <w:lvlText w:val="%1.%2.%3.%4.%5."/>
      <w:lvlJc w:val="right"/>
      <w:pPr>
        <w:tabs>
          <w:tab w:val="num" w:pos="3600"/>
        </w:tabs>
        <w:ind w:left="3600" w:hanging="360"/>
      </w:pPr>
      <w:rPr/>
    </w:lvl>
    <w:lvl w:ilvl="5">
      <w:start w:val="1"/>
      <w:numFmt w:val="decimal"/>
      <w:lvlText w:val="%1.%2.%3.%4.%5.%6."/>
      <w:lvlJc w:val="right"/>
      <w:pPr>
        <w:tabs>
          <w:tab w:val="num" w:pos="4320"/>
        </w:tabs>
        <w:ind w:left="4320" w:hanging="360"/>
      </w:pPr>
      <w:rPr/>
    </w:lvl>
    <w:lvl w:ilvl="6">
      <w:start w:val="1"/>
      <w:numFmt w:val="decimal"/>
      <w:lvlText w:val="%1.%2.%3.%4.%5.%6.%7."/>
      <w:lvlJc w:val="right"/>
      <w:pPr>
        <w:tabs>
          <w:tab w:val="num" w:pos="5040"/>
        </w:tabs>
        <w:ind w:left="5040" w:hanging="360"/>
      </w:pPr>
      <w:rPr/>
    </w:lvl>
    <w:lvl w:ilvl="7">
      <w:start w:val="1"/>
      <w:numFmt w:val="decimal"/>
      <w:lvlText w:val="%1.%2.%3.%4.%5.%6.%7.%8."/>
      <w:lvlJc w:val="right"/>
      <w:pPr>
        <w:tabs>
          <w:tab w:val="num" w:pos="5760"/>
        </w:tabs>
        <w:ind w:left="5760" w:hanging="360"/>
      </w:pPr>
      <w:rPr/>
    </w:lvl>
    <w:lvl w:ilvl="8">
      <w:start w:val="1"/>
      <w:numFmt w:val="decimal"/>
      <w:lvlText w:val="%1.%2.%3.%4.%5.%6.%7.%8.%9."/>
      <w:lvlJc w:val="right"/>
      <w:pPr>
        <w:tabs>
          <w:tab w:val="num" w:pos="6480"/>
        </w:tabs>
        <w:ind w:left="6480" w:hanging="360"/>
      </w:pPr>
      <w:rPr/>
    </w:lvl>
  </w:abstractNum>
  <w:abstractNum w:abstractNumId="3">
    <w:lvl w:ilvl="0">
      <w:start w:val="1"/>
      <w:numFmt w:val="decimal"/>
      <w:lvlText w:val="%1."/>
      <w:lvlJc w:val="right"/>
      <w:pPr>
        <w:tabs>
          <w:tab w:val="num" w:pos="720"/>
        </w:tabs>
        <w:ind w:left="720" w:hanging="360"/>
      </w:pPr>
      <w:rPr/>
    </w:lvl>
    <w:lvl w:ilvl="1">
      <w:start w:val="1"/>
      <w:numFmt w:val="decimal"/>
      <w:lvlText w:val="%1.%2."/>
      <w:lvlJc w:val="right"/>
      <w:pPr>
        <w:tabs>
          <w:tab w:val="num" w:pos="1440"/>
        </w:tabs>
        <w:ind w:left="1440" w:hanging="360"/>
      </w:pPr>
      <w:rPr/>
    </w:lvl>
    <w:lvl w:ilvl="2">
      <w:start w:val="1"/>
      <w:numFmt w:val="decimal"/>
      <w:lvlText w:val="%1.%2.%3."/>
      <w:lvlJc w:val="right"/>
      <w:pPr>
        <w:tabs>
          <w:tab w:val="num" w:pos="2160"/>
        </w:tabs>
        <w:ind w:left="2160" w:hanging="360"/>
      </w:pPr>
      <w:rPr/>
    </w:lvl>
    <w:lvl w:ilvl="3">
      <w:start w:val="1"/>
      <w:numFmt w:val="decimal"/>
      <w:lvlText w:val="%1.%2.%3.%4."/>
      <w:lvlJc w:val="right"/>
      <w:pPr>
        <w:tabs>
          <w:tab w:val="num" w:pos="2880"/>
        </w:tabs>
        <w:ind w:left="2880" w:hanging="360"/>
      </w:pPr>
      <w:rPr/>
    </w:lvl>
    <w:lvl w:ilvl="4">
      <w:start w:val="1"/>
      <w:numFmt w:val="decimal"/>
      <w:lvlText w:val="%1.%2.%3.%4.%5."/>
      <w:lvlJc w:val="right"/>
      <w:pPr>
        <w:tabs>
          <w:tab w:val="num" w:pos="3600"/>
        </w:tabs>
        <w:ind w:left="3600" w:hanging="360"/>
      </w:pPr>
      <w:rPr/>
    </w:lvl>
    <w:lvl w:ilvl="5">
      <w:start w:val="1"/>
      <w:numFmt w:val="decimal"/>
      <w:lvlText w:val="%1.%2.%3.%4.%5.%6."/>
      <w:lvlJc w:val="right"/>
      <w:pPr>
        <w:tabs>
          <w:tab w:val="num" w:pos="4320"/>
        </w:tabs>
        <w:ind w:left="4320" w:hanging="360"/>
      </w:pPr>
      <w:rPr/>
    </w:lvl>
    <w:lvl w:ilvl="6">
      <w:start w:val="1"/>
      <w:numFmt w:val="decimal"/>
      <w:lvlText w:val="%1.%2.%3.%4.%5.%6.%7."/>
      <w:lvlJc w:val="right"/>
      <w:pPr>
        <w:tabs>
          <w:tab w:val="num" w:pos="5040"/>
        </w:tabs>
        <w:ind w:left="5040" w:hanging="360"/>
      </w:pPr>
      <w:rPr/>
    </w:lvl>
    <w:lvl w:ilvl="7">
      <w:start w:val="1"/>
      <w:numFmt w:val="decimal"/>
      <w:lvlText w:val="%1.%2.%3.%4.%5.%6.%7.%8."/>
      <w:lvlJc w:val="right"/>
      <w:pPr>
        <w:tabs>
          <w:tab w:val="num" w:pos="5760"/>
        </w:tabs>
        <w:ind w:left="5760" w:hanging="360"/>
      </w:pPr>
      <w:rPr/>
    </w:lvl>
    <w:lvl w:ilvl="8">
      <w:start w:val="1"/>
      <w:numFmt w:val="decimal"/>
      <w:lvlText w:val="%1.%2.%3.%4.%5.%6.%7.%8.%9."/>
      <w:lvlJc w:val="right"/>
      <w:pPr>
        <w:tabs>
          <w:tab w:val="num" w:pos="6480"/>
        </w:tabs>
        <w:ind w:left="6480" w:hanging="360"/>
      </w:pPr>
      <w:rPr/>
    </w:lvl>
  </w:abstractNum>
  <w:abstractNum w:abstractNumId="4">
    <w:lvl w:ilvl="0">
      <w:start w:val="1"/>
      <w:numFmt w:val="bullet"/>
      <w:lvlText w:val="·"/>
      <w:lvlJc w:val="right"/>
      <w:pPr>
        <w:tabs>
          <w:tab w:val="num" w:pos="720"/>
        </w:tabs>
        <w:ind w:left="720" w:hanging="360"/>
      </w:pPr>
      <w:rPr>
        <w:rFonts w:ascii="Symbol" w:hAnsi="Symbol" w:cs="Symbol" w:hint="default"/>
      </w:rPr>
    </w:lvl>
    <w:lvl w:ilvl="1">
      <w:start w:val="1"/>
      <w:numFmt w:val="decimal"/>
      <w:lvlText w:val="%1.%2."/>
      <w:lvlJc w:val="right"/>
      <w:pPr>
        <w:tabs>
          <w:tab w:val="num" w:pos="1440"/>
        </w:tabs>
        <w:ind w:left="1440" w:hanging="360"/>
      </w:pPr>
      <w:rPr/>
    </w:lvl>
    <w:lvl w:ilvl="2">
      <w:start w:val="1"/>
      <w:numFmt w:val="decimal"/>
      <w:lvlText w:val="%1.%2.%3."/>
      <w:lvlJc w:val="right"/>
      <w:pPr>
        <w:tabs>
          <w:tab w:val="num" w:pos="2160"/>
        </w:tabs>
        <w:ind w:left="2160" w:hanging="360"/>
      </w:pPr>
      <w:rPr/>
    </w:lvl>
    <w:lvl w:ilvl="3">
      <w:start w:val="1"/>
      <w:numFmt w:val="decimal"/>
      <w:lvlText w:val="%1.%2.%3.%4."/>
      <w:lvlJc w:val="right"/>
      <w:pPr>
        <w:tabs>
          <w:tab w:val="num" w:pos="2880"/>
        </w:tabs>
        <w:ind w:left="2880" w:hanging="360"/>
      </w:pPr>
      <w:rPr/>
    </w:lvl>
    <w:lvl w:ilvl="4">
      <w:start w:val="1"/>
      <w:numFmt w:val="decimal"/>
      <w:lvlText w:val="%1.%2.%3.%4.%5."/>
      <w:lvlJc w:val="right"/>
      <w:pPr>
        <w:tabs>
          <w:tab w:val="num" w:pos="3600"/>
        </w:tabs>
        <w:ind w:left="3600" w:hanging="360"/>
      </w:pPr>
      <w:rPr/>
    </w:lvl>
    <w:lvl w:ilvl="5">
      <w:start w:val="1"/>
      <w:numFmt w:val="decimal"/>
      <w:lvlText w:val="%1.%2.%3.%4.%5.%6."/>
      <w:lvlJc w:val="right"/>
      <w:pPr>
        <w:tabs>
          <w:tab w:val="num" w:pos="4320"/>
        </w:tabs>
        <w:ind w:left="4320" w:hanging="360"/>
      </w:pPr>
      <w:rPr/>
    </w:lvl>
    <w:lvl w:ilvl="6">
      <w:start w:val="1"/>
      <w:numFmt w:val="decimal"/>
      <w:lvlText w:val="%1.%2.%3.%4.%5.%6.%7."/>
      <w:lvlJc w:val="right"/>
      <w:pPr>
        <w:tabs>
          <w:tab w:val="num" w:pos="5040"/>
        </w:tabs>
        <w:ind w:left="5040" w:hanging="360"/>
      </w:pPr>
      <w:rPr/>
    </w:lvl>
    <w:lvl w:ilvl="7">
      <w:start w:val="1"/>
      <w:numFmt w:val="decimal"/>
      <w:lvlText w:val="%1.%2.%3.%4.%5.%6.%7.%8."/>
      <w:lvlJc w:val="right"/>
      <w:pPr>
        <w:tabs>
          <w:tab w:val="num" w:pos="5760"/>
        </w:tabs>
        <w:ind w:left="5760" w:hanging="360"/>
      </w:pPr>
      <w:rPr/>
    </w:lvl>
    <w:lvl w:ilvl="8">
      <w:start w:val="1"/>
      <w:numFmt w:val="decimal"/>
      <w:lvlText w:val="%1.%2.%3.%4.%5.%6.%7.%8.%9."/>
      <w:lvlJc w:val="right"/>
      <w:pPr>
        <w:tabs>
          <w:tab w:val="num" w:pos="6480"/>
        </w:tabs>
        <w:ind w:left="6480" w:hanging="360"/>
      </w:pPr>
      <w:rPr/>
    </w:lvl>
  </w:abstractNum>
  <w:abstractNum w:abstractNumId="5">
    <w:lvl w:ilvl="0">
      <w:start w:val="1"/>
      <w:numFmt w:val="bullet"/>
      <w:lvlText w:val="·"/>
      <w:lvlJc w:val="right"/>
      <w:pPr>
        <w:tabs>
          <w:tab w:val="num" w:pos="720"/>
        </w:tabs>
        <w:ind w:left="720" w:hanging="360"/>
      </w:pPr>
      <w:rPr>
        <w:rFonts w:ascii="Symbol" w:hAnsi="Symbol" w:cs="Symbol" w:hint="default"/>
      </w:rPr>
    </w:lvl>
    <w:lvl w:ilvl="1">
      <w:start w:val="1"/>
      <w:numFmt w:val="decimal"/>
      <w:lvlText w:val="%1.%2."/>
      <w:lvlJc w:val="right"/>
      <w:pPr>
        <w:tabs>
          <w:tab w:val="num" w:pos="1440"/>
        </w:tabs>
        <w:ind w:left="1440" w:hanging="360"/>
      </w:pPr>
      <w:rPr/>
    </w:lvl>
    <w:lvl w:ilvl="2">
      <w:start w:val="1"/>
      <w:numFmt w:val="decimal"/>
      <w:lvlText w:val="%1.%2.%3."/>
      <w:lvlJc w:val="right"/>
      <w:pPr>
        <w:tabs>
          <w:tab w:val="num" w:pos="2160"/>
        </w:tabs>
        <w:ind w:left="2160" w:hanging="360"/>
      </w:pPr>
      <w:rPr/>
    </w:lvl>
    <w:lvl w:ilvl="3">
      <w:start w:val="1"/>
      <w:numFmt w:val="decimal"/>
      <w:lvlText w:val="%1.%2.%3.%4."/>
      <w:lvlJc w:val="right"/>
      <w:pPr>
        <w:tabs>
          <w:tab w:val="num" w:pos="2880"/>
        </w:tabs>
        <w:ind w:left="2880" w:hanging="360"/>
      </w:pPr>
      <w:rPr/>
    </w:lvl>
    <w:lvl w:ilvl="4">
      <w:start w:val="1"/>
      <w:numFmt w:val="decimal"/>
      <w:lvlText w:val="%1.%2.%3.%4.%5."/>
      <w:lvlJc w:val="right"/>
      <w:pPr>
        <w:tabs>
          <w:tab w:val="num" w:pos="3600"/>
        </w:tabs>
        <w:ind w:left="3600" w:hanging="360"/>
      </w:pPr>
      <w:rPr/>
    </w:lvl>
    <w:lvl w:ilvl="5">
      <w:start w:val="1"/>
      <w:numFmt w:val="decimal"/>
      <w:lvlText w:val="%1.%2.%3.%4.%5.%6."/>
      <w:lvlJc w:val="right"/>
      <w:pPr>
        <w:tabs>
          <w:tab w:val="num" w:pos="4320"/>
        </w:tabs>
        <w:ind w:left="4320" w:hanging="360"/>
      </w:pPr>
      <w:rPr/>
    </w:lvl>
    <w:lvl w:ilvl="6">
      <w:start w:val="1"/>
      <w:numFmt w:val="decimal"/>
      <w:lvlText w:val="%1.%2.%3.%4.%5.%6.%7."/>
      <w:lvlJc w:val="right"/>
      <w:pPr>
        <w:tabs>
          <w:tab w:val="num" w:pos="5040"/>
        </w:tabs>
        <w:ind w:left="5040" w:hanging="360"/>
      </w:pPr>
      <w:rPr/>
    </w:lvl>
    <w:lvl w:ilvl="7">
      <w:start w:val="1"/>
      <w:numFmt w:val="decimal"/>
      <w:lvlText w:val="%1.%2.%3.%4.%5.%6.%7.%8."/>
      <w:lvlJc w:val="right"/>
      <w:pPr>
        <w:tabs>
          <w:tab w:val="num" w:pos="5760"/>
        </w:tabs>
        <w:ind w:left="5760" w:hanging="360"/>
      </w:pPr>
      <w:rPr/>
    </w:lvl>
    <w:lvl w:ilvl="8">
      <w:start w:val="1"/>
      <w:numFmt w:val="decimal"/>
      <w:lvlText w:val="%1.%2.%3.%4.%5.%6.%7.%8.%9."/>
      <w:lvlJc w:val="right"/>
      <w:pPr>
        <w:tabs>
          <w:tab w:val="num" w:pos="6480"/>
        </w:tabs>
        <w:ind w:left="6480" w:hanging="36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Description"/>
    <w:lsdException w:name="Balloon Text"/>
  </w:latentStyles>
  <w:style w:type="paragraph" w:styleId="Normal" w:default="1">
    <w:name w:val="Normal"/>
    <w:qFormat/>
    <w:rsid w:val="00052f11"/>
    <w:pPr>
      <w:widowControl/>
      <w:bidi w:val="0"/>
      <w:spacing w:before="0" w:after="0"/>
      <w:jc w:val="left"/>
    </w:pPr>
    <w:rPr>
      <w:rFonts w:ascii="Calibri" w:hAnsi="Calibri" w:eastAsia="Calibri" w:cs="Calibri"/>
      <w:b w:val="false"/>
      <w:i w:val="false"/>
      <w:color w:val="auto"/>
      <w:kern w:val="0"/>
      <w:sz w:val="22"/>
      <w:szCs w:val="24"/>
      <w:u w:val="none"/>
      <w:lang w:val="en-GB" w:eastAsia="en-GB" w:bidi="ar-SA"/>
    </w:rPr>
  </w:style>
  <w:style w:type="paragraph" w:styleId="Heading1">
    <w:name w:val="Heading 1"/>
    <w:basedOn w:val="Normal"/>
    <w:next w:val="Normal"/>
    <w:link w:val="Heading11"/>
    <w:qFormat/>
    <w:rsid w:val="00052f11"/>
    <w:pPr>
      <w:keepNext w:val="true"/>
      <w:keepLines/>
      <w:spacing w:before="480" w:after="0"/>
      <w:outlineLvl w:val="0"/>
    </w:pPr>
    <w:rPr>
      <w:rFonts w:ascii="Cambria" w:hAnsi="Cambria" w:eastAsia="Cambria" w:cs="Cambria"/>
      <w:b/>
      <w:bCs/>
      <w:i w:val="false"/>
      <w:color w:val="365F91"/>
      <w:kern w:val="2"/>
      <w:sz w:val="28"/>
      <w:szCs w:val="32"/>
      <w:u w:val="none"/>
    </w:rPr>
  </w:style>
  <w:style w:type="paragraph" w:styleId="Heading2">
    <w:name w:val="Heading 2"/>
    <w:basedOn w:val="Normal"/>
    <w:next w:val="Normal"/>
    <w:link w:val="Heading21"/>
    <w:qFormat/>
    <w:rsid w:val="00052f11"/>
    <w:pPr>
      <w:keepNext w:val="true"/>
      <w:keepLines/>
      <w:spacing w:before="200" w:after="0"/>
      <w:outlineLvl w:val="1"/>
    </w:pPr>
    <w:rPr>
      <w:rFonts w:ascii="Cambria" w:hAnsi="Cambria" w:eastAsia="Cambria" w:cs="Cambria"/>
      <w:b/>
      <w:bCs/>
      <w:i w:val="false"/>
      <w:iCs/>
      <w:color w:val="4F81BD"/>
      <w:sz w:val="26"/>
      <w:szCs w:val="28"/>
      <w:u w:val="none"/>
    </w:rPr>
  </w:style>
  <w:style w:type="paragraph" w:styleId="Heading3">
    <w:name w:val="Heading 3"/>
    <w:basedOn w:val="Normal"/>
    <w:next w:val="Normal"/>
    <w:link w:val="Heading31"/>
    <w:qFormat/>
    <w:rsid w:val="00052f11"/>
    <w:pPr>
      <w:keepNext w:val="true"/>
      <w:keepLines/>
      <w:spacing w:before="200" w:after="0"/>
      <w:outlineLvl w:val="2"/>
    </w:pPr>
    <w:rPr>
      <w:rFonts w:ascii="Cambria" w:hAnsi="Cambria" w:eastAsia="Cambria" w:cs="Cambria"/>
      <w:b/>
      <w:bCs/>
      <w:i w:val="false"/>
      <w:color w:val="4F81BD"/>
      <w:sz w:val="22"/>
      <w:szCs w:val="26"/>
      <w:u w:val="none"/>
    </w:rPr>
  </w:style>
  <w:style w:type="paragraph" w:styleId="Heading4">
    <w:name w:val="Heading 4"/>
    <w:basedOn w:val="Normal"/>
    <w:next w:val="Normal"/>
    <w:link w:val="Heading41"/>
    <w:qFormat/>
    <w:rsid w:val="00ef7b96"/>
    <w:pPr>
      <w:keepNext w:val="true"/>
      <w:keepLines/>
      <w:spacing w:before="200" w:after="0"/>
      <w:outlineLvl w:val="3"/>
    </w:pPr>
    <w:rPr>
      <w:rFonts w:ascii="Cambria" w:hAnsi="Cambria" w:eastAsia="Cambria" w:cs="Cambria"/>
      <w:b/>
      <w:bCs/>
      <w:i/>
      <w:color w:val="4F81BD"/>
      <w:sz w:val="22"/>
      <w:szCs w:val="28"/>
      <w:u w:val="none"/>
    </w:rPr>
  </w:style>
  <w:style w:type="paragraph" w:styleId="Heading5">
    <w:name w:val="Heading 5"/>
    <w:basedOn w:val="Heading4"/>
    <w:next w:val="Normal"/>
    <w:link w:val="Heading5Char"/>
    <w:unhideWhenUsed/>
    <w:qFormat/>
    <w:rsid w:val="00d80f78"/>
    <w:pPr>
      <w:keepNext w:val="true"/>
      <w:keepLines/>
      <w:spacing w:before="200" w:after="0"/>
      <w:outlineLvl w:val="4"/>
    </w:pPr>
    <w:rPr>
      <w:rFonts w:ascii="Cambria" w:hAnsi="Cambria" w:eastAsia="" w:cs="" w:asciiTheme="majorHAnsi" w:cstheme="majorBidi" w:eastAsiaTheme="majorEastAsia" w:hAnsiTheme="majorHAnsi"/>
      <w:b w:val="false"/>
      <w:i w:val="false"/>
      <w:color w:val="243F60" w:themeColor="accent1" w:themeShade="7f"/>
      <w:sz w:val="22"/>
      <w:u w:val="none"/>
    </w:rPr>
  </w:style>
  <w:style w:type="paragraph" w:styleId="Heading6">
    <w:name w:val="Heading 6"/>
    <w:basedOn w:val="Heading5"/>
    <w:next w:val="Normal"/>
    <w:link w:val="Heading6Char"/>
    <w:unhideWhenUsed/>
    <w:qFormat/>
    <w:rsid w:val="00d80f78"/>
    <w:pPr>
      <w:keepNext w:val="true"/>
      <w:keepLines/>
      <w:spacing w:before="200" w:after="0"/>
      <w:outlineLvl w:val="5"/>
    </w:pPr>
    <w:rPr>
      <w:rFonts w:ascii="Cambria" w:hAnsi="Cambria" w:eastAsia="Cambria" w:cs="Cambria"/>
      <w:b w:val="false"/>
      <w:i/>
      <w:iCs/>
      <w:color w:val="243F60"/>
      <w:sz w:val="22"/>
      <w:u w:val="none"/>
    </w:rPr>
  </w:style>
  <w:style w:type="paragraph" w:styleId="Heading7">
    <w:name w:val="Heading 7"/>
    <w:basedOn w:val="Heading6"/>
    <w:next w:val="Normal"/>
    <w:link w:val="Heading7Char"/>
    <w:unhideWhenUsed/>
    <w:qFormat/>
    <w:rsid w:val="00d80f78"/>
    <w:pPr>
      <w:keepNext w:val="true"/>
      <w:keepLines/>
      <w:spacing w:before="200" w:after="0"/>
      <w:outlineLvl w:val="6"/>
    </w:pPr>
    <w:rPr>
      <w:rFonts w:ascii="Cambria" w:hAnsi="Cambria" w:eastAsia="Cambria" w:cs="Cambria"/>
      <w:b w:val="false"/>
      <w:i w:val="false"/>
      <w:iCs w:val="false"/>
      <w:color w:val="404040" w:themeColor="text1" w:themeTint="bf"/>
      <w:sz w:val="22"/>
      <w:u w:val="none"/>
    </w:rPr>
  </w:style>
  <w:style w:type="paragraph" w:styleId="Heading8">
    <w:name w:val="Heading 8"/>
    <w:basedOn w:val="Heading7"/>
    <w:next w:val="Normal"/>
    <w:link w:val="Heading8Char"/>
    <w:unhideWhenUsed/>
    <w:qFormat/>
    <w:rsid w:val="009b6e9b"/>
    <w:pPr>
      <w:keepNext w:val="true"/>
      <w:keepLines/>
      <w:spacing w:before="200" w:after="0"/>
      <w:outlineLvl w:val="7"/>
    </w:pPr>
    <w:rPr>
      <w:rFonts w:ascii="Cambria" w:hAnsi="Cambria" w:eastAsia="Cambria" w:cs="Cambria"/>
      <w:b w:val="false"/>
      <w:i w:val="false"/>
      <w:color w:val="404040"/>
      <w:sz w:val="20"/>
      <w:szCs w:val="20"/>
      <w:u w:val="none"/>
    </w:rPr>
  </w:style>
  <w:style w:type="paragraph" w:styleId="Heading9">
    <w:name w:val="Heading 9"/>
    <w:basedOn w:val="Heading8"/>
    <w:next w:val="Normal"/>
    <w:link w:val="Heading9Char"/>
    <w:unhideWhenUsed/>
    <w:qFormat/>
    <w:rsid w:val="009b6e9b"/>
    <w:pPr>
      <w:keepNext w:val="true"/>
      <w:keepLines/>
      <w:spacing w:before="200" w:after="0"/>
      <w:outlineLvl w:val="8"/>
    </w:pPr>
    <w:rPr>
      <w:rFonts w:ascii="Cambria" w:hAnsi="Cambria" w:eastAsia="Cambria" w:cs="Cambria"/>
      <w:b w:val="false"/>
      <w:i/>
      <w:iCs/>
      <w:color w:val="404040"/>
      <w:sz w:val="20"/>
      <w:u w:val="none"/>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1b17e9"/>
    <w:rPr>
      <w:color w:val="0000FF" w:themeColor="hyperlink"/>
      <w:u w:val="single"/>
    </w:rPr>
  </w:style>
  <w:style w:type="character" w:styleId="Heading5Char" w:customStyle="1">
    <w:name w:val="Heading 5 Char"/>
    <w:basedOn w:val="DefaultParagraphFont"/>
    <w:link w:val="Heading5"/>
    <w:qFormat/>
    <w:rsid w:val="00d80f78"/>
    <w:rPr>
      <w:rFonts w:ascii="Cambria" w:hAnsi="Cambria" w:eastAsia="" w:cs="" w:asciiTheme="majorHAnsi" w:cstheme="majorBidi" w:eastAsiaTheme="majorEastAsia" w:hAnsiTheme="majorHAnsi"/>
      <w:b w:val="false"/>
      <w:bCs/>
      <w:i w:val="false"/>
      <w:color w:val="243F60" w:themeColor="accent1" w:themeShade="7f"/>
      <w:sz w:val="22"/>
      <w:szCs w:val="28"/>
      <w:u w:val="none"/>
      <w:lang w:val="en-GB" w:eastAsia="en-GB"/>
    </w:rPr>
  </w:style>
  <w:style w:type="character" w:styleId="Heading6Char" w:customStyle="1">
    <w:name w:val="Heading 6 Char"/>
    <w:basedOn w:val="DefaultParagraphFont"/>
    <w:link w:val="Heading6"/>
    <w:qFormat/>
    <w:rsid w:val="00d80f78"/>
    <w:rPr>
      <w:rFonts w:ascii="Cambria" w:hAnsi="Cambria" w:eastAsia="" w:cs="" w:asciiTheme="majorHAnsi" w:cstheme="majorBidi" w:eastAsiaTheme="majorEastAsia" w:hAnsiTheme="majorHAnsi"/>
      <w:b w:val="false"/>
      <w:bCs/>
      <w:i/>
      <w:iCs/>
      <w:color w:val="243F60" w:themeColor="accent1" w:themeShade="7f"/>
      <w:sz w:val="22"/>
      <w:szCs w:val="28"/>
      <w:u w:val="none"/>
      <w:lang w:val="en-GB" w:eastAsia="en-GB"/>
    </w:rPr>
  </w:style>
  <w:style w:type="character" w:styleId="Heading7Char" w:customStyle="1">
    <w:name w:val="Heading 7 Char"/>
    <w:basedOn w:val="DefaultParagraphFont"/>
    <w:link w:val="Heading7"/>
    <w:qFormat/>
    <w:rsid w:val="00d80f78"/>
    <w:rPr>
      <w:rFonts w:ascii="Cambria" w:hAnsi="Cambria" w:eastAsia="" w:cs="" w:asciiTheme="majorHAnsi" w:cstheme="majorBidi" w:eastAsiaTheme="majorEastAsia" w:hAnsiTheme="majorHAnsi"/>
      <w:b w:val="false"/>
      <w:bCs/>
      <w:i/>
      <w:color w:val="404040" w:themeColor="text1" w:themeTint="bf"/>
      <w:sz w:val="22"/>
      <w:szCs w:val="28"/>
      <w:u w:val="none"/>
      <w:lang w:val="en-GB" w:eastAsia="en-GB"/>
    </w:rPr>
  </w:style>
  <w:style w:type="character" w:styleId="Heading8Char" w:customStyle="1">
    <w:name w:val="Heading 8 Char"/>
    <w:basedOn w:val="DefaultParagraphFont"/>
    <w:link w:val="Heading8"/>
    <w:qFormat/>
    <w:rsid w:val="009b6e9b"/>
    <w:rPr>
      <w:rFonts w:ascii="Cambria" w:hAnsi="Cambria" w:eastAsia="" w:cs="" w:asciiTheme="majorHAnsi" w:cstheme="majorBidi" w:eastAsiaTheme="majorEastAsia" w:hAnsiTheme="majorHAnsi"/>
      <w:b w:val="false"/>
      <w:bCs/>
      <w:i w:val="false"/>
      <w:color w:val="404040" w:themeColor="text1" w:themeTint="bf"/>
      <w:sz w:val="20"/>
      <w:u w:val="none"/>
      <w:lang w:val="en-GB" w:eastAsia="en-GB"/>
    </w:rPr>
  </w:style>
  <w:style w:type="character" w:styleId="Heading9Char" w:customStyle="1">
    <w:name w:val="Heading 9 Char"/>
    <w:basedOn w:val="DefaultParagraphFont"/>
    <w:link w:val="Heading9"/>
    <w:qFormat/>
    <w:rsid w:val="009b6e9b"/>
    <w:rPr>
      <w:rFonts w:ascii="Cambria" w:hAnsi="Cambria" w:eastAsia="" w:cs="" w:asciiTheme="majorHAnsi" w:cstheme="majorBidi" w:eastAsiaTheme="majorEastAsia" w:hAnsiTheme="majorHAnsi"/>
      <w:b w:val="false"/>
      <w:bCs/>
      <w:i/>
      <w:iCs/>
      <w:color w:val="404040" w:themeColor="text1" w:themeTint="bf"/>
      <w:sz w:val="20"/>
      <w:u w:val="none"/>
      <w:lang w:val="en-GB" w:eastAsia="en-GB"/>
    </w:rPr>
  </w:style>
  <w:style w:type="character" w:styleId="Description">
    <w:name w:val="Description"/>
    <w:link w:val="Description1"/>
    <w:qFormat/>
    <w:rPr>
      <w:rFonts w:ascii="Calibri" w:hAnsi="Calibri" w:eastAsia="Calibri" w:cs="Calibri"/>
      <w:b w:val="false"/>
      <w:i w:val="false"/>
      <w:sz w:val="22"/>
      <w:u w:val="none"/>
    </w:rPr>
  </w:style>
  <w:style w:type="character" w:styleId="Contents2">
    <w:name w:val="Contents 2"/>
    <w:link w:val="Contents21"/>
    <w:qFormat/>
    <w:rPr>
      <w:rFonts w:ascii="Calibri" w:hAnsi="Calibri" w:eastAsia="Calibri" w:cs="Calibri"/>
      <w:b w:val="false"/>
      <w:i w:val="false"/>
      <w:sz w:val="22"/>
      <w:u w:val="none"/>
    </w:rPr>
  </w:style>
  <w:style w:type="character" w:styleId="Contents3">
    <w:name w:val="Contents 3"/>
    <w:link w:val="Contents31"/>
    <w:qFormat/>
    <w:rPr>
      <w:rFonts w:ascii="Calibri" w:hAnsi="Calibri" w:eastAsia="Calibri" w:cs="Calibri"/>
      <w:b w:val="false"/>
      <w:i w:val="false"/>
      <w:sz w:val="22"/>
      <w:u w:val="none"/>
    </w:rPr>
  </w:style>
  <w:style w:type="character" w:styleId="Contents1">
    <w:name w:val="Contents 1"/>
    <w:link w:val="Contents11"/>
    <w:qFormat/>
    <w:rPr>
      <w:rFonts w:ascii="Calibri" w:hAnsi="Calibri" w:eastAsia="Calibri" w:cs="Calibri"/>
      <w:b w:val="false"/>
      <w:i w:val="false"/>
      <w:sz w:val="22"/>
      <w:u w:val="none"/>
    </w:rPr>
  </w:style>
  <w:style w:type="character" w:styleId="Heading11">
    <w:name w:val="Heading 1"/>
    <w:link w:val="Heading1"/>
    <w:qFormat/>
    <w:rPr>
      <w:rFonts w:ascii="Cambria" w:hAnsi="Cambria" w:eastAsia="Cambria" w:cs="Cambria"/>
      <w:b/>
      <w:i w:val="false"/>
      <w:color w:val="365F91"/>
      <w:sz w:val="28"/>
      <w:u w:val="none"/>
    </w:rPr>
  </w:style>
  <w:style w:type="character" w:styleId="Heading21">
    <w:name w:val="Heading 2"/>
    <w:link w:val="Heading2"/>
    <w:qFormat/>
    <w:rPr>
      <w:rFonts w:ascii="Cambria" w:hAnsi="Cambria" w:eastAsia="Cambria" w:cs="Cambria"/>
      <w:b/>
      <w:i w:val="false"/>
      <w:color w:val="4F81BD"/>
      <w:sz w:val="26"/>
      <w:u w:val="none"/>
    </w:rPr>
  </w:style>
  <w:style w:type="character" w:styleId="Heading31">
    <w:name w:val="Heading 3"/>
    <w:link w:val="Heading3"/>
    <w:qFormat/>
    <w:rPr>
      <w:rFonts w:ascii="Cambria" w:hAnsi="Cambria" w:eastAsia="Cambria" w:cs="Cambria"/>
      <w:b/>
      <w:i w:val="false"/>
      <w:color w:val="4F81BD"/>
      <w:sz w:val="22"/>
      <w:u w:val="none"/>
    </w:rPr>
  </w:style>
  <w:style w:type="character" w:styleId="Heading41">
    <w:name w:val="Heading 4"/>
    <w:link w:val="Heading4"/>
    <w:qFormat/>
    <w:rPr>
      <w:rFonts w:ascii="Cambria" w:hAnsi="Cambria" w:eastAsia="Cambria" w:cs="Cambria"/>
      <w:b/>
      <w:i/>
      <w:color w:val="4F81BD"/>
      <w:sz w:val="22"/>
      <w:u w:val="none"/>
    </w:rPr>
  </w:style>
  <w:style w:type="character" w:styleId="BalloonText">
    <w:name w:val="Balloon Text"/>
    <w:link w:val="BalloonText1"/>
    <w:qFormat/>
    <w:rPr>
      <w:rFonts w:ascii="Tahoma" w:hAnsi="Tahoma" w:eastAsia="Tahoma" w:cs="Tahoma"/>
      <w:b w:val="false"/>
      <w:i w:val="false"/>
      <w:sz w:val="16"/>
      <w:u w:val="none"/>
    </w:rPr>
  </w:style>
  <w:style w:type="character" w:styleId="Title">
    <w:name w:val="Title"/>
    <w:link w:val="Title1"/>
    <w:qFormat/>
    <w:rPr>
      <w:rFonts w:ascii="Cambria" w:hAnsi="Cambria" w:eastAsia="Cambria" w:cs="Cambria"/>
      <w:b w:val="false"/>
      <w:i w:val="false"/>
      <w:color w:val="17365D"/>
      <w:sz w:val="52"/>
      <w:u w:val="none"/>
    </w:rPr>
  </w:style>
  <w:style w:type="character" w:styleId="Subtitle">
    <w:name w:val="Subtitle"/>
    <w:link w:val="Subtitle1"/>
    <w:qFormat/>
    <w:rPr>
      <w:rFonts w:ascii="Cambria" w:hAnsi="Cambria" w:eastAsia="Cambria" w:cs="Cambria"/>
      <w:b w:val="false"/>
      <w:i/>
      <w:color w:val="4F81BD"/>
      <w:sz w:val="24"/>
      <w:u w:val="none"/>
    </w:rPr>
  </w:style>
  <w:style w:type="character" w:styleId="NoSpacing">
    <w:name w:val="No Spacing"/>
    <w:link w:val="NoSpacing1"/>
    <w:qFormat/>
    <w:rPr>
      <w:rFonts w:ascii="Calibri" w:hAnsi="Calibri" w:eastAsia="Calibri" w:cs="Calibri"/>
      <w:b w:val="false"/>
      <w:i w:val="false"/>
      <w:sz w:val="22"/>
      <w:u w:val="none"/>
    </w:rPr>
  </w:style>
  <w:style w:type="character" w:styleId="ListParagraph">
    <w:name w:val="List Paragraph"/>
    <w:link w:val="ListParagraph1"/>
    <w:qFormat/>
    <w:rPr>
      <w:rFonts w:ascii="Calibri" w:hAnsi="Calibri" w:eastAsia="Calibri" w:cs="Calibri"/>
      <w:b w:val="false"/>
      <w:i w:val="false"/>
      <w:sz w:val="22"/>
      <w:u w:val="none"/>
    </w:rPr>
  </w:style>
  <w:style w:type="character" w:styleId="Quote">
    <w:name w:val="Quote"/>
    <w:link w:val="Quote1"/>
    <w:qFormat/>
    <w:rPr>
      <w:rFonts w:ascii="Calibri" w:hAnsi="Calibri" w:eastAsia="Calibri" w:cs="Calibri"/>
      <w:b w:val="false"/>
      <w:i/>
      <w:color w:val="000000"/>
      <w:sz w:val="22"/>
      <w:u w:val="none"/>
    </w:rPr>
  </w:style>
  <w:style w:type="character" w:styleId="IntenseQuote">
    <w:name w:val="Intense Quote"/>
    <w:link w:val="IntenseQuote1"/>
    <w:qFormat/>
    <w:rPr>
      <w:rFonts w:ascii="Calibri" w:hAnsi="Calibri" w:eastAsia="Calibri" w:cs="Calibri"/>
      <w:b/>
      <w:i/>
      <w:color w:val="4F81BD"/>
      <w:sz w:val="22"/>
      <w:u w:val="none"/>
    </w:rPr>
  </w:style>
  <w:style w:type="character" w:styleId="ContentsHeading">
    <w:name w:val="Contents Heading"/>
    <w:link w:val="ContentsHeading1"/>
    <w:qFormat/>
    <w:rPr>
      <w:rFonts w:ascii="Cambria" w:hAnsi="Cambria" w:eastAsia="Cambria" w:cs="Cambria"/>
      <w:b/>
      <w:i w:val="false"/>
      <w:color w:val="365F91"/>
      <w:sz w:val="28"/>
      <w:u w:val="non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DocumentTitle" w:customStyle="1">
    <w:name w:val="Document Title"/>
    <w:basedOn w:val="Normal"/>
    <w:qFormat/>
    <w:rsid w:val="00052f11"/>
    <w:pPr>
      <w:jc w:val="center"/>
    </w:pPr>
    <w:rPr>
      <w:b/>
      <w:sz w:val="52"/>
    </w:rPr>
  </w:style>
  <w:style w:type="paragraph" w:styleId="Information" w:customStyle="1">
    <w:name w:val="Information"/>
    <w:basedOn w:val="Normal"/>
    <w:qFormat/>
    <w:rsid w:val="00052f11"/>
    <w:pPr>
      <w:jc w:val="center"/>
    </w:pPr>
    <w:rPr>
      <w:b/>
      <w:sz w:val="28"/>
      <w:szCs w:val="20"/>
    </w:rPr>
  </w:style>
  <w:style w:type="paragraph" w:styleId="Diagram" w:customStyle="1">
    <w:name w:val="Diagram"/>
    <w:basedOn w:val="Normal"/>
    <w:qFormat/>
    <w:rsid w:val="00e50a43"/>
    <w:pPr/>
    <w:rPr/>
  </w:style>
  <w:style w:type="paragraph" w:styleId="ReportTitle" w:customStyle="1">
    <w:name w:val="Report Title"/>
    <w:basedOn w:val="PageTitle"/>
    <w:qFormat/>
    <w:rsid w:val="007b63b3"/>
    <w:pPr/>
    <w:rPr>
      <w:b/>
      <w:sz w:val="48"/>
    </w:rPr>
  </w:style>
  <w:style w:type="paragraph" w:styleId="PageTitle" w:customStyle="1">
    <w:name w:val="Page Title"/>
    <w:basedOn w:val="Normal"/>
    <w:qFormat/>
    <w:rsid w:val="00052f11"/>
    <w:pPr>
      <w:spacing w:before="240" w:after="0"/>
      <w:jc w:val="center"/>
    </w:pPr>
    <w:rPr>
      <w:sz w:val="40"/>
      <w:szCs w:val="20"/>
    </w:rPr>
  </w:style>
  <w:style w:type="paragraph" w:styleId="HLine" w:customStyle="1">
    <w:name w:val="H Line"/>
    <w:basedOn w:val="DocumentTitle"/>
    <w:qFormat/>
    <w:rsid w:val="00df6325"/>
    <w:pPr>
      <w:pBdr>
        <w:bottom w:val="single" w:sz="18" w:space="1" w:color="1569BC"/>
      </w:pBdr>
    </w:pPr>
    <w:rPr>
      <w:bCs/>
      <w:szCs w:val="20"/>
    </w:rPr>
  </w:style>
  <w:style w:type="paragraph" w:styleId="TableHeader" w:customStyle="1">
    <w:name w:val="TableHeader"/>
    <w:basedOn w:val="Normal"/>
    <w:qFormat/>
    <w:rsid w:val="005a57e0"/>
    <w:pPr>
      <w:spacing w:before="120" w:after="80"/>
      <w:ind w:left="144" w:right="144" w:hanging="0"/>
    </w:pPr>
    <w:rPr>
      <w:b/>
      <w:color w:val="FFFFFF"/>
      <w:sz w:val="22"/>
    </w:rPr>
  </w:style>
  <w:style w:type="paragraph" w:styleId="TableContent" w:customStyle="1">
    <w:name w:val="TableContent"/>
    <w:basedOn w:val="Normal"/>
    <w:qFormat/>
    <w:rsid w:val="0070332b"/>
    <w:pPr>
      <w:spacing w:before="80" w:after="40"/>
      <w:ind w:left="144" w:right="144" w:hanging="0"/>
    </w:pPr>
    <w:rPr/>
  </w:style>
  <w:style w:type="paragraph" w:styleId="DiagramType" w:customStyle="1">
    <w:name w:val="DiagramType"/>
    <w:basedOn w:val="Normal"/>
    <w:qFormat/>
    <w:rsid w:val="00ac0b18"/>
    <w:pPr/>
    <w:rPr>
      <w:b/>
      <w:sz w:val="28"/>
    </w:rPr>
  </w:style>
  <w:style w:type="paragraph" w:styleId="ReportInformation" w:customStyle="1">
    <w:name w:val="Report Information"/>
    <w:basedOn w:val="ReportTitle"/>
    <w:qFormat/>
    <w:rsid w:val="009d6e9a"/>
    <w:pPr/>
    <w:rPr>
      <w:sz w:val="32"/>
    </w:rPr>
  </w:style>
  <w:style w:type="paragraph" w:styleId="Contents11">
    <w:name w:val="TOC 1"/>
    <w:basedOn w:val="Normal"/>
    <w:next w:val="Normal"/>
    <w:link w:val="Contents1"/>
    <w:autoRedefine/>
    <w:uiPriority w:val="39"/>
    <w:rsid w:val="001b17e9"/>
    <w:pPr>
      <w:spacing w:before="0" w:after="100"/>
    </w:pPr>
    <w:rPr>
      <w:rFonts w:ascii="Calibri" w:hAnsi="Calibri" w:eastAsia="Calibri" w:cs="Calibri"/>
      <w:b w:val="false"/>
      <w:i w:val="false"/>
      <w:sz w:val="22"/>
      <w:u w:val="none"/>
    </w:rPr>
  </w:style>
  <w:style w:type="paragraph" w:styleId="Contents21">
    <w:name w:val="TOC 2"/>
    <w:basedOn w:val="Normal"/>
    <w:next w:val="Normal"/>
    <w:link w:val="Contents2"/>
    <w:autoRedefine/>
    <w:uiPriority w:val="39"/>
    <w:rsid w:val="001b17e9"/>
    <w:pPr>
      <w:spacing w:before="0" w:after="100"/>
      <w:ind w:left="200" w:hanging="0"/>
    </w:pPr>
    <w:rPr>
      <w:rFonts w:ascii="Calibri" w:hAnsi="Calibri" w:eastAsia="Calibri" w:cs="Calibri"/>
      <w:b w:val="false"/>
      <w:i w:val="false"/>
      <w:sz w:val="22"/>
      <w:u w:val="none"/>
    </w:rPr>
  </w:style>
  <w:style w:type="paragraph" w:styleId="Contents31">
    <w:name w:val="TOC 3"/>
    <w:basedOn w:val="Normal"/>
    <w:next w:val="Normal"/>
    <w:link w:val="Contents3"/>
    <w:autoRedefine/>
    <w:uiPriority w:val="39"/>
    <w:rsid w:val="001b17e9"/>
    <w:pPr>
      <w:spacing w:before="0" w:after="100"/>
      <w:ind w:left="400" w:hanging="0"/>
    </w:pPr>
    <w:rPr>
      <w:rFonts w:ascii="Calibri" w:hAnsi="Calibri" w:eastAsia="Calibri" w:cs="Calibri"/>
      <w:b w:val="false"/>
      <w:i w:val="false"/>
      <w:sz w:val="22"/>
      <w:u w:val="none"/>
    </w:rPr>
  </w:style>
  <w:style w:type="paragraph" w:styleId="Description1">
    <w:name w:val="Description"/>
    <w:basedOn w:val="Normal"/>
    <w:link w:val="Description"/>
    <w:qFormat/>
    <w:pPr/>
    <w:rPr>
      <w:rFonts w:ascii="Calibri" w:hAnsi="Calibri" w:eastAsia="Calibri" w:cs="Calibri"/>
      <w:b w:val="false"/>
      <w:i w:val="false"/>
      <w:sz w:val="22"/>
      <w:u w:val="none"/>
    </w:rPr>
  </w:style>
  <w:style w:type="paragraph" w:styleId="BalloonText1">
    <w:name w:val="Balloon Text"/>
    <w:basedOn w:val="Normal"/>
    <w:link w:val="BalloonText"/>
    <w:qFormat/>
    <w:pPr>
      <w:spacing w:before="0" w:after="0"/>
    </w:pPr>
    <w:rPr>
      <w:rFonts w:ascii="Tahoma" w:hAnsi="Tahoma" w:eastAsia="Tahoma" w:cs="Tahoma"/>
      <w:b w:val="false"/>
      <w:i w:val="false"/>
      <w:sz w:val="16"/>
      <w:u w:val="none"/>
    </w:rPr>
  </w:style>
  <w:style w:type="paragraph" w:styleId="Title1">
    <w:name w:val="Title"/>
    <w:basedOn w:val="Normal"/>
    <w:link w:val="Title"/>
    <w:qFormat/>
    <w:pPr>
      <w:spacing w:before="0" w:after="300"/>
    </w:pPr>
    <w:rPr>
      <w:rFonts w:ascii="Cambria" w:hAnsi="Cambria" w:eastAsia="Cambria" w:cs="Cambria"/>
      <w:b w:val="false"/>
      <w:i w:val="false"/>
      <w:color w:val="17365D"/>
      <w:sz w:val="52"/>
      <w:u w:val="none"/>
    </w:rPr>
  </w:style>
  <w:style w:type="paragraph" w:styleId="Subtitle1">
    <w:name w:val="Subtitle"/>
    <w:basedOn w:val="Normal"/>
    <w:link w:val="Subtitle"/>
    <w:qFormat/>
    <w:pPr/>
    <w:rPr>
      <w:rFonts w:ascii="Cambria" w:hAnsi="Cambria" w:eastAsia="Cambria" w:cs="Cambria"/>
      <w:b w:val="false"/>
      <w:i/>
      <w:color w:val="4F81BD"/>
      <w:sz w:val="24"/>
      <w:u w:val="none"/>
    </w:rPr>
  </w:style>
  <w:style w:type="paragraph" w:styleId="NoSpacing1">
    <w:name w:val="No Spacing"/>
    <w:basedOn w:val="Normal"/>
    <w:link w:val="NoSpacing"/>
    <w:qFormat/>
    <w:pPr>
      <w:spacing w:before="0" w:after="0"/>
    </w:pPr>
    <w:rPr>
      <w:rFonts w:ascii="Calibri" w:hAnsi="Calibri" w:eastAsia="Calibri" w:cs="Calibri"/>
      <w:b w:val="false"/>
      <w:i w:val="false"/>
      <w:sz w:val="22"/>
      <w:u w:val="none"/>
    </w:rPr>
  </w:style>
  <w:style w:type="paragraph" w:styleId="ListParagraph1">
    <w:name w:val="List Paragraph"/>
    <w:basedOn w:val="Normal"/>
    <w:link w:val="ListParagraph"/>
    <w:qFormat/>
    <w:pPr/>
    <w:rPr>
      <w:rFonts w:ascii="Calibri" w:hAnsi="Calibri" w:eastAsia="Calibri" w:cs="Calibri"/>
      <w:b w:val="false"/>
      <w:i w:val="false"/>
      <w:sz w:val="22"/>
      <w:u w:val="none"/>
    </w:rPr>
  </w:style>
  <w:style w:type="paragraph" w:styleId="Quote1">
    <w:name w:val="Quote"/>
    <w:basedOn w:val="Normal"/>
    <w:link w:val="Quote"/>
    <w:qFormat/>
    <w:pPr/>
    <w:rPr>
      <w:rFonts w:ascii="Calibri" w:hAnsi="Calibri" w:eastAsia="Calibri" w:cs="Calibri"/>
      <w:b w:val="false"/>
      <w:i/>
      <w:color w:val="000000"/>
      <w:sz w:val="22"/>
      <w:u w:val="none"/>
    </w:rPr>
  </w:style>
  <w:style w:type="paragraph" w:styleId="IntenseQuote1">
    <w:name w:val="Intense Quote"/>
    <w:basedOn w:val="Normal"/>
    <w:link w:val="IntenseQuote"/>
    <w:qFormat/>
    <w:pPr>
      <w:spacing w:before="200" w:after="280"/>
    </w:pPr>
    <w:rPr>
      <w:rFonts w:ascii="Calibri" w:hAnsi="Calibri" w:eastAsia="Calibri" w:cs="Calibri"/>
      <w:b/>
      <w:i/>
      <w:color w:val="4F81BD"/>
      <w:sz w:val="22"/>
      <w:u w:val="none"/>
    </w:rPr>
  </w:style>
  <w:style w:type="paragraph" w:styleId="IndexHeading">
    <w:name w:val="Index Heading"/>
    <w:basedOn w:val="Heading"/>
    <w:pPr/>
    <w:rPr/>
  </w:style>
  <w:style w:type="paragraph" w:styleId="ContentsHeading1">
    <w:name w:val="TOC Heading"/>
    <w:basedOn w:val="Normal"/>
    <w:link w:val="ContentsHeading"/>
    <w:qFormat/>
    <w:pPr>
      <w:spacing w:before="480" w:after="0"/>
    </w:pPr>
    <w:rPr>
      <w:rFonts w:ascii="Cambria" w:hAnsi="Cambria" w:eastAsia="Cambria" w:cs="Cambria"/>
      <w:b/>
      <w:i w:val="false"/>
      <w:color w:val="365F91"/>
      <w:sz w:val="28"/>
      <w:u w:val="none"/>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pPr>
      <w:ind w:right="0"/>
      <w:spacing w:before="0" w:after="0"/>
    </w:pPr>
    <w:tblPr>
      <w:tblStyleRowBandSize w:val="1"/>
      <w:tblStyleColBandSize w:val="1"/>
      <w:tblCellMar>
        <w:top w:w="0" w:type="dxa"/>
        <w:left w:w="108" w:type="dxa"/>
        <w:bottom w:w="0" w:type="dxa"/>
        <w:right w:w="108" w:type="dxa"/>
      </w:tblCellMar>
    </w:tblPr>
  </w:style>
  <w:style w:type="table" w:styleId="TableGrid">
    <w:name w:val="Table Grid"/>
    <w:basedOn w:val="TableNormal"/>
    <w:pPr>
      <w:ind w:right="144"/>
      <w:spacing w:before="80" w:after="40"/>
    </w:pPr>
    <w:tblPr>
      <w:tblStyleRowBandSize w:val="1"/>
      <w:tblStyleColBandSize w:val="1"/>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 w:type="table" w:styleId="LightShading">
    <w:name w:val="Light Shading"/>
    <w:basedOn w:val="TableNormal"/>
    <w:pPr>
      <w:ind w:right="144"/>
      <w:spacing w:before="80" w:after="40"/>
    </w:pPr>
    <w:tblPr>
      <w:tblStyleRowBandSize w:val="1"/>
      <w:tblStyleColBandSize w:val="1"/>
      <w:tblBorders>
        <w:top w:val="single" w:color="000000" w:sz="8" w:space="0"/>
        <w:bottom w:val="single" w:color="000000" w:sz="8" w:space="0"/>
      </w:tblBorders>
      <w:tblCellMar>
        <w:top w:w="0" w:type="dxa"/>
        <w:left w:w="0" w:type="dxa"/>
        <w:bottom w:w="0" w:type="dxa"/>
        <w:right w:w="0" w:type="dxa"/>
      </w:tblCellMar>
    </w:tblPr>
    <w:tblStylePr w:type="firstRow">
      <w:rPr>
        <w:b/>
      </w:rPr>
      <w:tblPr/>
      <w:tcPr>
        <w:tcBorders>
          <w:top w:val="single" w:color="000000" w:sz="8" w:space="0"/>
          <w:left w:val="nil"/>
          <w:bottom w:val="single" w:color="000000" w:sz="8" w:space="0"/>
          <w:right w:val="nil"/>
          <w:insideH w:val="nil"/>
          <w:insideV w:val="nil"/>
        </w:tcBorders>
      </w:tcPr>
    </w:tblStylePr>
    <w:tblStylePr w:type="firstCol">
      <w:rPr>
        <w:b/>
      </w:rPr>
      <w:tblPr/>
    </w:tblStylePr>
    <w:tblStylePr w:type="lastRow">
      <w:rPr>
        <w:b/>
      </w:rPr>
      <w:tblPr/>
      <w:tcPr>
        <w:tcBorders>
          <w:top w:val="single" w:color="000000" w:sz="8" w:space="0"/>
          <w:left w:val="nil"/>
          <w:bottom w:val="single" w:color="000000" w:sz="8" w:space="0"/>
          <w:right w:val="nil"/>
          <w:insideH w:val="nil"/>
          <w:insideV w:val="nil"/>
        </w:tcBorders>
      </w:tcPr>
    </w:tblStylePr>
    <w:tblStylePr w:type="lastCol">
      <w:rPr>
        <w:b/>
      </w:rPr>
      <w:tblPr/>
    </w:tblStylePr>
    <w:tblStylePr w:type="band1Horz">
      <w:tblPr/>
      <w:tcPr>
        <w:tcBorders>
          <w:left w:val="nil"/>
          <w:right w:val="nil"/>
          <w:insideH w:val="nil"/>
          <w:insideV w:val="nil"/>
        </w:tcBorders>
        <w:shd w:val="clear" w:color="auto" w:fill="C0C0C0"/>
      </w:tcPr>
    </w:tblStylePr>
    <w:tblStylePr w:type="band1Vert">
      <w:tblPr/>
      <w:tcPr>
        <w:tcBorders>
          <w:left w:val="nil"/>
          <w:right w:val="nil"/>
          <w:insideH w:val="nil"/>
          <w:insideV w:val="nil"/>
        </w:tcBorders>
        <w:shd w:val="clear" w:color="auto" w:fill="C0C0C0"/>
      </w:tcPr>
    </w:tblStylePr>
  </w:style>
  <w:style w:type="table" w:styleId="LightShading-Accent1">
    <w:name w:val="Light Shading Accent 1"/>
    <w:basedOn w:val="TableNormal"/>
    <w:pPr>
      <w:ind w:right="144"/>
      <w:spacing w:before="80" w:after="40"/>
    </w:pPr>
    <w:tblPr>
      <w:tblStyleRowBandSize w:val="1"/>
      <w:tblStyleColBandSize w:val="1"/>
      <w:tblBorders>
        <w:top w:val="single" w:color="4F81BD" w:sz="8" w:space="0"/>
        <w:bottom w:val="single" w:color="4F81BD" w:sz="8" w:space="0"/>
      </w:tblBorders>
      <w:tblCellMar>
        <w:top w:w="0" w:type="dxa"/>
        <w:left w:w="0" w:type="dxa"/>
        <w:bottom w:w="0" w:type="dxa"/>
        <w:right w:w="0" w:type="dxa"/>
      </w:tblCellMar>
    </w:tblPr>
    <w:tblStylePr w:type="firstRow">
      <w:rPr>
        <w:b/>
      </w:rPr>
      <w:tblPr/>
      <w:tcPr>
        <w:tcBorders>
          <w:top w:val="single" w:color="4F81BD" w:sz="8" w:space="0"/>
          <w:left w:val="nil"/>
          <w:bottom w:val="single" w:color="4F81BD" w:sz="8" w:space="0"/>
          <w:right w:val="nil"/>
          <w:insideH w:val="nil"/>
          <w:insideV w:val="nil"/>
        </w:tcBorders>
      </w:tcPr>
    </w:tblStylePr>
    <w:tblStylePr w:type="firstCol">
      <w:rPr>
        <w:b/>
      </w:rPr>
      <w:tblPr/>
    </w:tblStylePr>
    <w:tblStylePr w:type="lastRow">
      <w:rPr>
        <w:b/>
      </w:rPr>
      <w:tblPr/>
      <w:tcPr>
        <w:tcBorders>
          <w:top w:val="single" w:color="4F81BD" w:sz="8" w:space="0"/>
          <w:left w:val="nil"/>
          <w:bottom w:val="single" w:color="4F81BD" w:sz="8" w:space="0"/>
          <w:right w:val="nil"/>
          <w:insideH w:val="nil"/>
          <w:insideV w:val="nil"/>
        </w:tcBorders>
      </w:tcPr>
    </w:tblStylePr>
    <w:tblStylePr w:type="lastCol">
      <w:rPr>
        <w:b/>
      </w:rPr>
      <w:tblPr/>
    </w:tblStylePr>
    <w:tblStylePr w:type="band1Horz">
      <w:tblPr/>
      <w:tcPr>
        <w:tcBorders>
          <w:left w:val="nil"/>
          <w:right w:val="nil"/>
          <w:insideH w:val="nil"/>
          <w:insideV w:val="nil"/>
        </w:tcBorders>
        <w:shd w:val="clear" w:color="auto" w:fill="D3DFEE"/>
      </w:tcPr>
    </w:tblStylePr>
    <w:tblStylePr w:type="band1Vert">
      <w:tblPr/>
      <w:tcPr>
        <w:tcBorders>
          <w:left w:val="nil"/>
          <w:right w:val="nil"/>
          <w:insideH w:val="nil"/>
          <w:insideV w:val="nil"/>
        </w:tcBorders>
        <w:shd w:val="clear" w:color="auto" w:fill="D3DFEE"/>
      </w:tcPr>
    </w:tblStylePr>
  </w:style>
  <w:style w:type="table" w:styleId="LightShading-Accent2">
    <w:name w:val="Light Shading Accent 2"/>
    <w:basedOn w:val="TableNormal"/>
    <w:pPr>
      <w:ind w:right="144"/>
      <w:spacing w:before="80" w:after="40"/>
    </w:pPr>
    <w:tblPr>
      <w:tblStyleRowBandSize w:val="1"/>
      <w:tblStyleColBandSize w:val="1"/>
      <w:tblBorders>
        <w:top w:val="single" w:color="C0504D" w:sz="8" w:space="0"/>
        <w:bottom w:val="single" w:color="C0504D" w:sz="8" w:space="0"/>
      </w:tblBorders>
      <w:tblCellMar>
        <w:top w:w="0" w:type="dxa"/>
        <w:left w:w="0" w:type="dxa"/>
        <w:bottom w:w="0" w:type="dxa"/>
        <w:right w:w="0" w:type="dxa"/>
      </w:tblCellMar>
    </w:tblPr>
    <w:tblStylePr w:type="firstRow">
      <w:rPr>
        <w:b/>
      </w:rPr>
      <w:tblPr/>
      <w:tcPr>
        <w:tcBorders>
          <w:top w:val="single" w:color="C0504D" w:sz="8" w:space="0"/>
          <w:left w:val="nil"/>
          <w:bottom w:val="single" w:color="C0504D" w:sz="8" w:space="0"/>
          <w:right w:val="nil"/>
          <w:insideH w:val="nil"/>
          <w:insideV w:val="nil"/>
        </w:tcBorders>
      </w:tcPr>
    </w:tblStylePr>
    <w:tblStylePr w:type="firstCol">
      <w:rPr>
        <w:b/>
      </w:rPr>
      <w:tblPr/>
    </w:tblStylePr>
    <w:tblStylePr w:type="lastRow">
      <w:rPr>
        <w:b/>
      </w:rPr>
      <w:tblPr/>
      <w:tcPr>
        <w:tcBorders>
          <w:top w:val="single" w:color="C0504D" w:sz="8" w:space="0"/>
          <w:left w:val="nil"/>
          <w:bottom w:val="single" w:color="C0504D" w:sz="8" w:space="0"/>
          <w:right w:val="nil"/>
          <w:insideH w:val="nil"/>
          <w:insideV w:val="nil"/>
        </w:tcBorders>
      </w:tcPr>
    </w:tblStylePr>
    <w:tblStylePr w:type="lastCol">
      <w:rPr>
        <w:b/>
      </w:rPr>
      <w:tblPr/>
    </w:tblStylePr>
    <w:tblStylePr w:type="band1Horz">
      <w:tblPr/>
      <w:tcPr>
        <w:tcBorders>
          <w:left w:val="nil"/>
          <w:right w:val="nil"/>
          <w:insideH w:val="nil"/>
          <w:insideV w:val="nil"/>
        </w:tcBorders>
        <w:shd w:val="clear" w:color="auto" w:fill="EFD3D2"/>
      </w:tcPr>
    </w:tblStylePr>
    <w:tblStylePr w:type="band1Vert">
      <w:tblPr/>
      <w:tcPr>
        <w:tcBorders>
          <w:left w:val="nil"/>
          <w:right w:val="nil"/>
          <w:insideH w:val="nil"/>
          <w:insideV w:val="nil"/>
        </w:tcBorders>
        <w:shd w:val="clear" w:color="auto" w:fill="EFD3D2"/>
      </w:tcPr>
    </w:tblStylePr>
  </w:style>
  <w:style w:type="table" w:styleId="LightShading-Accent3">
    <w:name w:val="Light Shading Accent 3"/>
    <w:basedOn w:val="TableNormal"/>
    <w:pPr>
      <w:ind w:right="144"/>
      <w:spacing w:before="80" w:after="40"/>
    </w:pPr>
    <w:tblPr>
      <w:tblStyleRowBandSize w:val="1"/>
      <w:tblStyleColBandSize w:val="1"/>
      <w:tblBorders>
        <w:top w:val="single" w:color="9BBB59" w:sz="8" w:space="0"/>
        <w:bottom w:val="single" w:color="9BBB59" w:sz="8" w:space="0"/>
      </w:tblBorders>
      <w:tblCellMar>
        <w:top w:w="0" w:type="dxa"/>
        <w:left w:w="0" w:type="dxa"/>
        <w:bottom w:w="0" w:type="dxa"/>
        <w:right w:w="0" w:type="dxa"/>
      </w:tblCellMar>
    </w:tblPr>
    <w:tblStylePr w:type="firstRow">
      <w:rPr>
        <w:b/>
      </w:rPr>
      <w:tblPr/>
      <w:tcPr>
        <w:tcBorders>
          <w:top w:val="single" w:color="9BBB59" w:sz="8" w:space="0"/>
          <w:left w:val="nil"/>
          <w:bottom w:val="single" w:color="9BBB59" w:sz="8" w:space="0"/>
          <w:right w:val="nil"/>
          <w:insideH w:val="nil"/>
          <w:insideV w:val="nil"/>
        </w:tcBorders>
      </w:tcPr>
    </w:tblStylePr>
    <w:tblStylePr w:type="firstCol">
      <w:rPr>
        <w:b/>
      </w:rPr>
      <w:tblPr/>
    </w:tblStylePr>
    <w:tblStylePr w:type="lastRow">
      <w:rPr>
        <w:b/>
      </w:rPr>
      <w:tblPr/>
      <w:tcPr>
        <w:tcBorders>
          <w:top w:val="single" w:color="9BBB59" w:sz="8" w:space="0"/>
          <w:left w:val="nil"/>
          <w:bottom w:val="single" w:color="9BBB59" w:sz="8" w:space="0"/>
          <w:right w:val="nil"/>
          <w:insideH w:val="nil"/>
          <w:insideV w:val="nil"/>
        </w:tcBorders>
      </w:tcPr>
    </w:tblStylePr>
    <w:tblStylePr w:type="lastCol">
      <w:rPr>
        <w:b/>
      </w:rPr>
      <w:tblPr/>
    </w:tblStylePr>
    <w:tblStylePr w:type="band1Horz">
      <w:tblPr/>
      <w:tcPr>
        <w:tcBorders>
          <w:left w:val="nil"/>
          <w:right w:val="nil"/>
          <w:insideH w:val="nil"/>
          <w:insideV w:val="nil"/>
        </w:tcBorders>
        <w:shd w:val="clear" w:color="auto" w:fill="E6EED5"/>
      </w:tcPr>
    </w:tblStylePr>
    <w:tblStylePr w:type="band1Vert">
      <w:tblPr/>
      <w:tcPr>
        <w:tcBorders>
          <w:left w:val="nil"/>
          <w:right w:val="nil"/>
          <w:insideH w:val="nil"/>
          <w:insideV w:val="nil"/>
        </w:tcBorders>
        <w:shd w:val="clear" w:color="auto" w:fill="E6EED5"/>
      </w:tcPr>
    </w:tblStylePr>
  </w:style>
  <w:style w:type="table" w:styleId="LightList">
    <w:name w:val="Light List"/>
    <w:basedOn w:val="TableNormal"/>
    <w:pPr>
      <w:ind w:right="144"/>
      <w:spacing w:before="80" w:after="40"/>
    </w:pPr>
    <w:tblPr>
      <w:tblStyleRowBandSize w:val="1"/>
      <w:tblStyleColBandSize w:val="1"/>
      <w:tblBorders>
        <w:top w:val="single" w:color="000000" w:sz="8" w:space="0"/>
        <w:left w:val="single" w:color="000000" w:sz="8" w:space="0"/>
        <w:bottom w:val="single" w:color="000000" w:sz="8" w:space="0"/>
        <w:right w:val="single" w:color="000000" w:sz="8" w:space="0"/>
      </w:tblBorders>
      <w:tblCellMar>
        <w:top w:w="0" w:type="dxa"/>
        <w:left w:w="0" w:type="dxa"/>
        <w:bottom w:w="0" w:type="dxa"/>
        <w:right w:w="0" w:type="dxa"/>
      </w:tblCellMar>
    </w:tblPr>
    <w:tblStylePr w:type="firstRow">
      <w:rPr>
        <w:b/>
        <w:color w:val="FFFFFF"/>
      </w:rPr>
      <w:tblPr/>
      <w:tcPr>
        <w:shd w:val="clear" w:color="auto" w:fill="000000"/>
      </w:tcPr>
    </w:tblStylePr>
    <w:tblStylePr w:type="firstCol">
      <w:rPr>
        <w:b/>
      </w:rPr>
      <w:tblPr/>
    </w:tblStylePr>
    <w:tblStylePr w:type="lastRow">
      <w:rPr>
        <w:b/>
      </w:rPr>
      <w:tblPr/>
      <w:tcPr>
        <w:tcBorders>
          <w:top w:val="double" w:color="000000" w:sz="6" w:space="0"/>
          <w:left w:val="single" w:color="000000" w:sz="8" w:space="0"/>
          <w:bottom w:val="single" w:color="000000" w:sz="8" w:space="0"/>
          <w:right w:val="single" w:color="000000" w:sz="8" w:space="0"/>
        </w:tcBorders>
      </w:tcPr>
    </w:tblStylePr>
    <w:tblStylePr w:type="lastCol">
      <w:rPr>
        <w:b/>
      </w:rPr>
      <w:tblPr/>
    </w:tblStylePr>
    <w:tblStylePr w:type="band1Horz">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tcPr>
    </w:tblStylePr>
  </w:style>
  <w:style w:type="table" w:styleId="LightGrid">
    <w:name w:val="Light Grid"/>
    <w:basedOn w:val="TableNormal"/>
    <w:pPr>
      <w:ind w:right="144"/>
      <w:spacing w:before="80" w:after="40"/>
    </w:pPr>
    <w:tblPr>
      <w:tblStyleRowBandSize w:val="1"/>
      <w:tblStyleColBandSize w:val="1"/>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
    <w:tblStylePr w:type="firstRow">
      <w:rPr>
        <w:b/>
      </w:rPr>
      <w:tblPr/>
      <w:tcPr>
        <w:tcBorders>
          <w:top w:val="single" w:color="000000" w:sz="8" w:space="0"/>
          <w:left w:val="single" w:color="000000" w:sz="8" w:space="0"/>
          <w:bottom w:val="single" w:color="000000" w:sz="18" w:space="0"/>
          <w:right w:val="single" w:color="000000" w:sz="8" w:space="0"/>
          <w:insideH w:val="nil"/>
          <w:insideV w:val="single" w:color="000000" w:sz="8" w:space="0"/>
        </w:tcBorders>
      </w:tcPr>
    </w:tblStylePr>
    <w:tblStylePr w:type="firstCol">
      <w:rPr>
        <w:b/>
      </w:rPr>
      <w:tblPr/>
    </w:tblStylePr>
    <w:tblStylePr w:type="lastRow">
      <w:rPr>
        <w:b/>
      </w:rPr>
      <w:tblPr/>
      <w:tcPr>
        <w:tcBorders>
          <w:top w:val="double" w:color="000000" w:sz="6" w:space="0"/>
          <w:left w:val="single" w:color="000000" w:sz="8" w:space="0"/>
          <w:bottom w:val="single" w:color="000000" w:sz="8" w:space="0"/>
          <w:right w:val="single" w:color="000000" w:sz="8" w:space="0"/>
          <w:insideH w:val="nil"/>
          <w:insideV w:val="single" w:color="000000" w:sz="8" w:space="0"/>
        </w:tcBorders>
      </w:tcPr>
    </w:tblStylePr>
    <w:tblStylePr w:type="lastCol">
      <w:rPr>
        <w:b/>
      </w:rPr>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insideV w:val="single" w:color="000000"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style>
  <w:style w:type="table" w:styleId="LightList-Accent1">
    <w:name w:val="Light List Accent 1"/>
    <w:basedOn w:val="TableNormal"/>
    <w:pPr>
      <w:ind w:right="144"/>
      <w:spacing w:before="80" w:after="40"/>
    </w:pPr>
    <w:tblPr>
      <w:tblStyleRowBandSize w:val="1"/>
      <w:tblStyleColBandSize w:val="1"/>
      <w:tblBorders>
        <w:top w:val="single" w:color="4F81BD" w:sz="8" w:space="0"/>
        <w:left w:val="single" w:color="4F81BD" w:sz="8" w:space="0"/>
        <w:bottom w:val="single" w:color="4F81BD" w:sz="8" w:space="0"/>
        <w:right w:val="single" w:color="4F81BD" w:sz="8" w:space="0"/>
      </w:tblBorders>
      <w:tblCellMar>
        <w:top w:w="0" w:type="dxa"/>
        <w:left w:w="0" w:type="dxa"/>
        <w:bottom w:w="0" w:type="dxa"/>
        <w:right w:w="0" w:type="dxa"/>
      </w:tblCellMar>
    </w:tblPr>
    <w:tblStylePr w:type="firstRow">
      <w:rPr>
        <w:b/>
        <w:color w:val="FFFFFF"/>
      </w:rPr>
      <w:tblPr/>
      <w:tcPr>
        <w:shd w:val="clear" w:color="auto" w:fill="4F81BD"/>
      </w:tcPr>
    </w:tblStylePr>
    <w:tblStylePr w:type="firstCol">
      <w:rPr>
        <w:b/>
      </w:rPr>
      <w:tblPr/>
    </w:tblStylePr>
    <w:tblStylePr w:type="lastRow">
      <w:rPr>
        <w:b/>
      </w:rPr>
      <w:tblPr/>
      <w:tcPr>
        <w:tcBorders>
          <w:top w:val="double" w:color="4F81BD" w:sz="6" w:space="0"/>
          <w:left w:val="single" w:color="4F81BD" w:sz="8" w:space="0"/>
          <w:bottom w:val="single" w:color="4F81BD" w:sz="8" w:space="0"/>
          <w:right w:val="single" w:color="4F81BD" w:sz="8" w:space="0"/>
        </w:tcBorders>
      </w:tcPr>
    </w:tblStylePr>
    <w:tblStylePr w:type="lastCol">
      <w:rPr>
        <w:b/>
      </w:rPr>
      <w:tblPr/>
    </w:tblStylePr>
    <w:tblStylePr w:type="band1Horz">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tcPr>
    </w:tblStylePr>
  </w:style>
  <w:style w:type="table" w:styleId="LightList-Accent2">
    <w:name w:val="Light List Accent 2"/>
    <w:basedOn w:val="TableNormal"/>
    <w:pPr>
      <w:ind w:right="144"/>
      <w:spacing w:before="80" w:after="40"/>
    </w:pPr>
    <w:tblPr>
      <w:tblStyleRowBandSize w:val="1"/>
      <w:tblStyleColBandSize w:val="1"/>
      <w:tblBorders>
        <w:top w:val="single" w:color="C0504D" w:sz="8" w:space="0"/>
        <w:left w:val="single" w:color="C0504D" w:sz="8" w:space="0"/>
        <w:bottom w:val="single" w:color="C0504D" w:sz="8" w:space="0"/>
        <w:right w:val="single" w:color="C0504D" w:sz="8" w:space="0"/>
      </w:tblBorders>
      <w:tblCellMar>
        <w:top w:w="0" w:type="dxa"/>
        <w:left w:w="0" w:type="dxa"/>
        <w:bottom w:w="0" w:type="dxa"/>
        <w:right w:w="0" w:type="dxa"/>
      </w:tblCellMar>
    </w:tblPr>
    <w:tblStylePr w:type="firstRow">
      <w:rPr>
        <w:b/>
        <w:color w:val="FFFFFF"/>
      </w:rPr>
      <w:tblPr/>
      <w:tcPr>
        <w:shd w:val="clear" w:color="auto" w:fill="C0504D"/>
      </w:tcPr>
    </w:tblStylePr>
    <w:tblStylePr w:type="firstCol">
      <w:rPr>
        <w:b/>
      </w:rPr>
      <w:tblPr/>
    </w:tblStylePr>
    <w:tblStylePr w:type="lastRow">
      <w:rPr>
        <w:b/>
      </w:rPr>
      <w:tblPr/>
      <w:tcPr>
        <w:tcBorders>
          <w:top w:val="double" w:color="C0504D" w:sz="6" w:space="0"/>
          <w:left w:val="single" w:color="C0504D" w:sz="8" w:space="0"/>
          <w:bottom w:val="single" w:color="C0504D" w:sz="8" w:space="0"/>
          <w:right w:val="single" w:color="C0504D" w:sz="8" w:space="0"/>
        </w:tcBorders>
      </w:tcPr>
    </w:tblStylePr>
    <w:tblStylePr w:type="lastCol">
      <w:rPr>
        <w:b/>
      </w:rPr>
      <w:tblPr/>
    </w:tblStylePr>
    <w:tblStylePr w:type="band1Horz">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tcPr>
    </w:tblStylePr>
  </w:style>
  <w:style w:type="table" w:styleId="LightList-Accent3">
    <w:name w:val="Light List Accent 3"/>
    <w:basedOn w:val="TableNormal"/>
    <w:pPr>
      <w:ind w:right="144"/>
      <w:spacing w:before="80" w:after="40"/>
    </w:pPr>
    <w:tblPr>
      <w:tblStyleRowBandSize w:val="1"/>
      <w:tblStyleColBandSize w:val="1"/>
      <w:tblBorders>
        <w:top w:val="single" w:color="9BBB59" w:sz="8" w:space="0"/>
        <w:left w:val="single" w:color="9BBB59" w:sz="8" w:space="0"/>
        <w:bottom w:val="single" w:color="9BBB59" w:sz="8" w:space="0"/>
        <w:right w:val="single" w:color="9BBB59" w:sz="8" w:space="0"/>
      </w:tblBorders>
      <w:tblCellMar>
        <w:top w:w="0" w:type="dxa"/>
        <w:left w:w="0" w:type="dxa"/>
        <w:bottom w:w="0" w:type="dxa"/>
        <w:right w:w="0" w:type="dxa"/>
      </w:tblCellMar>
    </w:tblPr>
    <w:tblStylePr w:type="firstRow">
      <w:rPr>
        <w:b/>
        <w:color w:val="FFFFFF"/>
      </w:rPr>
      <w:tblPr/>
      <w:tcPr>
        <w:shd w:val="clear" w:color="auto" w:fill="9BBB59"/>
      </w:tcPr>
    </w:tblStylePr>
    <w:tblStylePr w:type="firstCol">
      <w:rPr>
        <w:b/>
      </w:rPr>
      <w:tblPr/>
    </w:tblStylePr>
    <w:tblStylePr w:type="lastRow">
      <w:rPr>
        <w:b/>
      </w:rPr>
      <w:tblPr/>
      <w:tcPr>
        <w:tcBorders>
          <w:top w:val="double" w:color="9BBB59" w:sz="6" w:space="0"/>
          <w:left w:val="single" w:color="9BBB59" w:sz="8" w:space="0"/>
          <w:bottom w:val="single" w:color="9BBB59" w:sz="8" w:space="0"/>
          <w:right w:val="single" w:color="9BBB59" w:sz="8" w:space="0"/>
        </w:tcBorders>
      </w:tcPr>
    </w:tblStylePr>
    <w:tblStylePr w:type="lastCol">
      <w:rPr>
        <w:b/>
      </w:rPr>
      <w:tblPr/>
    </w:tblStylePr>
    <w:tblStylePr w:type="band1Horz">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tcPr>
    </w:tblStylePr>
  </w:style>
  <w:style w:type="table" w:styleId="LightGrid-Accent1">
    <w:name w:val="Light Grid Accent 1"/>
    <w:basedOn w:val="TableNormal"/>
    <w:pPr>
      <w:ind w:right="144"/>
      <w:spacing w:before="80" w:after="40"/>
    </w:pPr>
    <w:tblPr>
      <w:tblStyleRowBandSize w:val="1"/>
      <w:tblStyleColBandSize w:val="1"/>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0" w:type="dxa"/>
        <w:bottom w:w="0" w:type="dxa"/>
        <w:right w:w="0" w:type="dxa"/>
      </w:tblCellMar>
    </w:tblPr>
    <w:tblStylePr w:type="firstRow">
      <w:rPr>
        <w:b/>
      </w:rPr>
      <w:tblPr/>
      <w:tcPr>
        <w:tcBorders>
          <w:top w:val="single" w:color="4F81BD" w:sz="8" w:space="0"/>
          <w:left w:val="single" w:color="4F81BD" w:sz="8" w:space="0"/>
          <w:bottom w:val="single" w:color="4F81BD" w:sz="18" w:space="0"/>
          <w:right w:val="single" w:color="4F81BD" w:sz="8" w:space="0"/>
          <w:insideH w:val="nil"/>
          <w:insideV w:val="single" w:color="4F81BD" w:sz="8" w:space="0"/>
        </w:tcBorders>
      </w:tcPr>
    </w:tblStylePr>
    <w:tblStylePr w:type="firstCol">
      <w:rPr>
        <w:b/>
      </w:rPr>
      <w:tblPr/>
    </w:tblStylePr>
    <w:tblStylePr w:type="lastRow">
      <w:rPr>
        <w:b/>
      </w:rPr>
      <w:tblPr/>
      <w:tcPr>
        <w:tcBorders>
          <w:top w:val="double" w:color="4F81BD" w:sz="6" w:space="0"/>
          <w:left w:val="single" w:color="4F81BD" w:sz="8" w:space="0"/>
          <w:bottom w:val="single" w:color="4F81BD" w:sz="8" w:space="0"/>
          <w:right w:val="single" w:color="4F81BD" w:sz="8" w:space="0"/>
          <w:insideH w:val="nil"/>
          <w:insideV w:val="single" w:color="4F81BD" w:sz="8" w:space="0"/>
        </w:tcBorders>
      </w:tcPr>
    </w:tblStylePr>
    <w:tblStylePr w:type="lastCol">
      <w:rPr>
        <w:b/>
      </w:rPr>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insideV w:val="single" w:color="4F81BD"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style>
  <w:style w:type="table" w:styleId="LightGrid-Accent2">
    <w:name w:val="Light Grid Accent 2"/>
    <w:basedOn w:val="TableNormal"/>
    <w:pPr>
      <w:ind w:right="144"/>
      <w:spacing w:before="80" w:after="40"/>
    </w:pPr>
    <w:tblPr>
      <w:tblStyleRowBandSize w:val="1"/>
      <w:tblStyleColBandSize w:val="1"/>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CellMar>
        <w:top w:w="0" w:type="dxa"/>
        <w:left w:w="0" w:type="dxa"/>
        <w:bottom w:w="0" w:type="dxa"/>
        <w:right w:w="0" w:type="dxa"/>
      </w:tblCellMar>
    </w:tblPr>
    <w:tblStylePr w:type="firstRow">
      <w:rPr>
        <w:b/>
      </w:rPr>
      <w:tblPr/>
      <w:tcPr>
        <w:tcBorders>
          <w:top w:val="single" w:color="C0504D" w:sz="8" w:space="0"/>
          <w:left w:val="single" w:color="C0504D" w:sz="8" w:space="0"/>
          <w:bottom w:val="single" w:color="C0504D" w:sz="18" w:space="0"/>
          <w:right w:val="single" w:color="C0504D" w:sz="8" w:space="0"/>
          <w:insideH w:val="nil"/>
          <w:insideV w:val="single" w:color="C0504D" w:sz="8" w:space="0"/>
        </w:tcBorders>
      </w:tcPr>
    </w:tblStylePr>
    <w:tblStylePr w:type="firstCol">
      <w:rPr>
        <w:b/>
      </w:rPr>
      <w:tblPr/>
    </w:tblStylePr>
    <w:tblStylePr w:type="lastRow">
      <w:rPr>
        <w:b/>
      </w:rPr>
      <w:tblPr/>
      <w:tcPr>
        <w:tcBorders>
          <w:top w:val="double" w:color="C0504D" w:sz="6" w:space="0"/>
          <w:left w:val="single" w:color="C0504D" w:sz="8" w:space="0"/>
          <w:bottom w:val="single" w:color="C0504D" w:sz="8" w:space="0"/>
          <w:right w:val="single" w:color="C0504D" w:sz="8" w:space="0"/>
          <w:insideH w:val="nil"/>
          <w:insideV w:val="single" w:color="C0504D" w:sz="8" w:space="0"/>
        </w:tcBorders>
      </w:tcPr>
    </w:tblStylePr>
    <w:tblStylePr w:type="lastCol">
      <w:rPr>
        <w:b/>
      </w:rPr>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insideV w:val="single" w:color="C0504D"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style>
  <w:style w:type="table" w:styleId="LightGrid-Accent3">
    <w:name w:val="Light Grid Accent 3"/>
    <w:basedOn w:val="TableNormal"/>
    <w:pPr>
      <w:ind w:right="144"/>
      <w:spacing w:before="80" w:after="40"/>
    </w:pPr>
    <w:tblPr>
      <w:tblStyleRowBandSize w:val="1"/>
      <w:tblStyleColBandSize w:val="1"/>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0" w:type="dxa"/>
        <w:bottom w:w="0" w:type="dxa"/>
        <w:right w:w="0" w:type="dxa"/>
      </w:tblCellMar>
    </w:tblPr>
    <w:tblStylePr w:type="firstRow">
      <w:rPr>
        <w:b/>
      </w:rPr>
      <w:tblPr/>
      <w:tcPr>
        <w:tcBorders>
          <w:top w:val="single" w:color="9BBB59" w:sz="8" w:space="0"/>
          <w:left w:val="single" w:color="9BBB59" w:sz="8" w:space="0"/>
          <w:bottom w:val="single" w:color="9BBB59" w:sz="18" w:space="0"/>
          <w:right w:val="single" w:color="9BBB59" w:sz="8" w:space="0"/>
          <w:insideH w:val="nil"/>
          <w:insideV w:val="single" w:color="9BBB59" w:sz="8" w:space="0"/>
        </w:tcBorders>
      </w:tcPr>
    </w:tblStylePr>
    <w:tblStylePr w:type="firstCol">
      <w:rPr>
        <w:b/>
      </w:rPr>
      <w:tblPr/>
    </w:tblStylePr>
    <w:tblStylePr w:type="lastRow">
      <w:rPr>
        <w:b/>
      </w:rPr>
      <w:tblPr/>
      <w:tcPr>
        <w:tcBorders>
          <w:top w:val="double" w:color="9BBB59" w:sz="6" w:space="0"/>
          <w:left w:val="single" w:color="9BBB59" w:sz="8" w:space="0"/>
          <w:bottom w:val="single" w:color="9BBB59" w:sz="8" w:space="0"/>
          <w:right w:val="single" w:color="9BBB59" w:sz="8" w:space="0"/>
          <w:insideH w:val="nil"/>
          <w:insideV w:val="single" w:color="9BBB59" w:sz="8" w:space="0"/>
        </w:tcBorders>
      </w:tcPr>
    </w:tblStylePr>
    <w:tblStylePr w:type="lastCol">
      <w:rPr>
        <w:b/>
      </w:rPr>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insideV w:val="single" w:color="9BBB59"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style>
  <w:style w:type="table" w:styleId="Properties">
    <w:name w:val="Properties"/>
    <w:basedOn w:val="TableNormal"/>
    <w:pPr>
      <w:ind w:right="144"/>
      <w:spacing w:before="80" w:after="40"/>
    </w:pPr>
    <w:tblPr>
      <w:tblStyleRowBandSize w:val="1"/>
      <w:tblStyleColBandSize w:val="1"/>
      <w:tblCellMar>
        <w:top w:w="0" w:type="dxa"/>
        <w:left w:w="0" w:type="dxa"/>
        <w:bottom w:w="0" w:type="dxa"/>
        <w:right w:w="0" w:type="dxa"/>
      </w:tblCellMar>
    </w:tblPr>
    <w:tblStylePr w:type="firstCol">
      <w:rPr>
        <w:b/>
      </w:rPr>
      <w:tblPr/>
    </w:tblStylePr>
    <w:tblStylePr w:type="band1Horz">
      <w:tblPr/>
      <w:tcPr>
        <w:shd w:val="clear" w:color="auto" w:fill="DBE5F1"/>
      </w:tcPr>
    </w:tblStylePr>
  </w:style>
  <w:style w:type="table" w:styleId="Summaries">
    <w:name w:val="Summaries"/>
    <w:basedOn w:val="TableNormal"/>
    <w:pPr>
      <w:ind w:right="144"/>
      <w:spacing w:before="80" w:after="40"/>
    </w:pPr>
    <w:tblPr>
      <w:tblStyleRowBandSize w:val="1"/>
      <w:tblStyleColBandSize w:val="1"/>
      <w:tblCellMar>
        <w:top w:w="0" w:type="dxa"/>
        <w:left w:w="0" w:type="dxa"/>
        <w:bottom w:w="0" w:type="dxa"/>
        <w:right w:w="0" w:type="dxa"/>
      </w:tblCellMar>
    </w:tblPr>
    <w:tblStylePr w:type="firstRow">
      <w:rPr>
        <w:b/>
      </w:rPr>
      <w:tblPr/>
      <w:tcPr>
        <w:shd w:val="clear" w:color="auto" w:fill="B8CCE4"/>
      </w:tcPr>
    </w:tblStylePr>
    <w:tblStylePr w:type="band1Horz">
      <w:tblPr/>
      <w:tcPr>
        <w:shd w:val="clear" w:color="auto" w:fill="DBE5F1"/>
      </w:tcPr>
    </w:tblStylePr>
  </w:style>
  <w:style w:type="table" w:styleId="Summaries2">
    <w:name w:val="Summaries2"/>
    <w:basedOn w:val="TableNormal"/>
    <w:pPr>
      <w:ind w:right="144"/>
      <w:spacing w:before="80" w:after="40"/>
    </w:pPr>
    <w:tblPr>
      <w:tblStyleRowBandSize w:val="1"/>
      <w:tblStyleColBandSize w:val="1"/>
      <w:tblCellMar>
        <w:top w:w="0" w:type="dxa"/>
        <w:left w:w="0" w:type="dxa"/>
        <w:bottom w:w="0" w:type="dxa"/>
        <w:right w:w="0" w:type="dxa"/>
      </w:tblCellMar>
    </w:tblPr>
    <w:tblStylePr w:type="firstRow">
      <w:rPr>
        <w:b/>
      </w:rPr>
      <w:tblPr/>
      <w:tcPr>
        <w:shd w:val="clear" w:color="auto" w:fill="B8CCE4"/>
      </w:tcPr>
    </w:tblStylePr>
    <w:tblStylePr w:type="firstCol">
      <w:rPr>
        <w:b/>
      </w:rPr>
      <w:tblPr/>
    </w:tblStylePr>
    <w:tblStylePr w:type="band1Horz">
      <w:tblPr/>
      <w:tcPr>
        <w:shd w:val="clear" w:color="auto" w:fill="DBE5F1"/>
      </w:tcPr>
    </w:tblStylePr>
  </w:style>
  <w:style w:type="table" w:styleId="Confirmation">
    <w:name w:val="Confirmation"/>
    <w:basedOn w:val="TableNormal"/>
    <w:pPr>
      <w:ind w:right="144"/>
      <w:spacing w:before="80" w:after="40"/>
    </w:p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0" w:type="dxa"/>
        <w:bottom w:w="0" w:type="dxa"/>
        <w:right w:w="0" w:type="dxa"/>
      </w:tblCellMar>
    </w:tblPr>
    <w:tblStylePr w:type="firstCol">
      <w:tblPr/>
      <w:tcPr>
        <w:tcBorders>
          <w:right w:val="single" w:color="943634" w:sz="4" w:space="0"/>
          <w:insideV w:val="nil"/>
        </w:tcBorders>
      </w:tcPr>
    </w:tblStylePr>
  </w:style>
  <w:style w:type="table" w:styleId="Scenario">
    <w:name w:val="Scenario"/>
    <w:basedOn w:val="TableNormal"/>
    <w:pPr>
      <w:ind w:right="144"/>
      <w:spacing w:before="80" w:after="40"/>
    </w:pPr>
    <w:tblPr>
      <w:tblStyleRowBandSize w:val="1"/>
      <w:tblStyleColBandSize w:val="1"/>
      <w:tblBorders>
        <w:top w:val="single" w:color="BFBFBF" w:sz="4" w:space="0"/>
        <w:left w:val="single" w:color="BFBFBF" w:sz="4" w:space="0"/>
        <w:bottom w:val="single" w:color="BFBFBF" w:sz="4" w:space="0"/>
        <w:right w:val="single" w:color="BFBFBF" w:sz="4" w:space="0"/>
        <w:insideH w:val="dashSmallGap" w:color="BFBFBF" w:sz="4" w:space="0"/>
        <w:insideV w:val="dashSmallGap" w:color="BFBFBF" w:sz="4" w:space="0"/>
      </w:tblBorders>
      <w:tblCellMar>
        <w:top w:w="0" w:type="dxa"/>
        <w:left w:w="0" w:type="dxa"/>
        <w:bottom w:w="0" w:type="dxa"/>
        <w:right w:w="0" w:type="dxa"/>
      </w:tblCellMar>
    </w:tblPr>
    <w:tblStylePr w:type="firstRow">
      <w:rPr>
        <w:b/>
      </w:rPr>
      <w:tblPr/>
      <w:tcPr>
        <w:tcBorders>
          <w:insideH w:val="dashSmallGap" w:color="BFBFBF" w:sz="4" w:space="0"/>
          <w:insideV w:val="dashSmallGap" w:color="BFBFBF" w:sz="4" w:space="0"/>
        </w:tcBorders>
      </w:tcPr>
    </w:tblStylePr>
    <w:tblStylePr w:type="band1Horz">
      <w:tblPr/>
      <w:tcPr>
        <w:tcBorders>
          <w:insideH w:val="dashSmallGap" w:color="BFBFBF" w:sz="4" w:space="0"/>
          <w:insideV w:val="dashSmallGap" w:color="BFBFBF" w:sz="4" w:space="0"/>
        </w:tcBorders>
      </w:tcPr>
    </w:tblStylePr>
    <w:tblStylePr w:type="band2Horz">
      <w:tblPr/>
      <w:tcPr>
        <w:tcBorders>
          <w:insideH w:val="dashSmallGap" w:color="BFBFBF" w:sz="4" w:space="0"/>
          <w:insideV w:val="dashSmallGap" w:color="BFBFBF" w:sz="4" w:space="0"/>
        </w:tcBorders>
      </w:tcPr>
    </w:tblStylePr>
    <w:tblStylePr w:type="band1Vert">
      <w:tblPr/>
      <w:tcPr>
        <w:tcBorders>
          <w:insideH w:val="dashSmallGap" w:color="BFBFBF" w:sz="4" w:space="0"/>
          <w:insideV w:val="dashSmallGap" w:color="BFBFBF" w:sz="4" w:space="0"/>
        </w:tcBorders>
      </w:tcPr>
    </w:tblStylePr>
    <w:tblStylePr w:type="band2Vert">
      <w:tblPr/>
      <w:tcPr>
        <w:tcBorders>
          <w:insideH w:val="dashSmallGap" w:color="BFBFBF" w:sz="4" w:space="0"/>
          <w:insideV w:val="dashSmallGap" w:color="BFBFBF" w:sz="4" w:space="0"/>
        </w:tcBorders>
      </w:tcPr>
    </w:tblStylePr>
  </w:style>
  <w:style w:type="table" w:styleId="ScenarioNoProcedure">
    <w:name w:val="ScenarioNoProcedure"/>
    <w:basedOn w:val="TableNormal"/>
    <w:pPr>
      <w:ind w:right="144"/>
      <w:spacing w:before="80" w:after="40"/>
    </w:pPr>
    <w:tblPr>
      <w:tblStyleRowBandSize w:val="1"/>
      <w:tblStyleColBandSize w:val="1"/>
      <w:tblBorders>
        <w:top w:val="single" w:color="BFBFBF" w:sz="4" w:space="0"/>
        <w:left w:val="single" w:color="BFBFBF" w:sz="4" w:space="0"/>
        <w:bottom w:val="single" w:color="BFBFBF" w:sz="4" w:space="0"/>
        <w:right w:val="single" w:color="BFBFBF" w:sz="4" w:space="0"/>
      </w:tblBorders>
      <w:tblCellMar>
        <w:top w:w="0" w:type="dxa"/>
        <w:left w:w="0" w:type="dxa"/>
        <w:bottom w:w="0" w:type="dxa"/>
        <w:right w:w="0" w:type="dxa"/>
      </w:tblCellMar>
    </w:tblPr>
  </w:style>
  <w:style w:type="table" w:styleId="EmptyTable">
    <w:name w:val="EmptyTable"/>
    <w:basedOn w:val="TableNormal"/>
    <w:pPr>
      <w:ind w:right="144"/>
      <w:spacing w:before="80" w:after="40"/>
    </w:pPr>
    <w:tblPr>
      <w:tblStyleRowBandSize w:val="1"/>
      <w:tblStyleColBandSize w:val="1"/>
      <w:tblCellMar>
        <w:top w:w="0" w:type="dxa"/>
        <w:left w:w="0" w:type="dxa"/>
        <w:bottom w:w="0" w:type="dxa"/>
        <w:right w:w="0" w:type="dxa"/>
      </w:tblCellMar>
    </w:tblPr>
  </w:style>
  <w:style w:type="table" w:styleId="TableStyle1">
    <w:name w:val="Table Style 1"/>
    <w:basedOn w:val="TableNormal"/>
    <w:pPr>
      <w:ind w:right="0"/>
      <w:spacing w:before="0" w:after="0"/>
    </w:pPr>
    <w:rPr>
      <w:sz w:val="20"/>
    </w:rPr>
    <w:tblPr>
      <w:tblStyleRowBandSize w:val="1"/>
      <w:tblStyleColBandSize w:val="1"/>
      <w:tblBorders>
        <w:top w:val="single" w:color="DDD9C3" w:sz="4" w:space="0"/>
        <w:left w:val="single" w:color="DDD9C3" w:sz="4" w:space="0"/>
        <w:bottom w:val="single" w:color="DDD9C3" w:sz="4" w:space="0"/>
        <w:right w:val="single" w:color="DDD9C3" w:sz="4" w:space="0"/>
        <w:insideH w:val="single" w:color="DDD9C3" w:sz="4" w:space="0"/>
        <w:insideV w:val="single" w:color="DDD9C3" w:sz="4" w:space="0"/>
      </w:tblBorders>
      <w:tblCellMar>
        <w:top w:w="0" w:type="dxa"/>
        <w:left w:w="108" w:type="dxa"/>
        <w:bottom w:w="0" w:type="dxa"/>
        <w:right w:w="108" w:type="dxa"/>
      </w:tblCellMar>
    </w:tblPr>
    <w:tblStylePr w:type="firstRow">
      <w:rPr>
        <w:b/>
      </w:rPr>
      <w:tblPr/>
      <w:tcPr>
        <w:shd w:val="clear" w:color="auto" w:fill="D9D9D9"/>
      </w:tcPr>
    </w:tblStylePr>
  </w:style>
  <w:style w:type="table" w:styleId="TableStyle1CenterHeader">
    <w:name w:val="Table Style 1 (Center Header)"/>
    <w:basedOn w:val="TableNormal"/>
    <w:pPr>
      <w:ind w:right="0"/>
      <w:spacing w:before="0" w:after="0"/>
    </w:pPr>
    <w:tblPr>
      <w:tblStyleRowBandSize w:val="1"/>
      <w:tblStyleColBandSize w:val="1"/>
      <w:tblBorders>
        <w:top w:val="single" w:color="DDD9C3" w:sz="4" w:space="0"/>
        <w:left w:val="single" w:color="DDD9C3" w:sz="4" w:space="0"/>
        <w:bottom w:val="single" w:color="DDD9C3" w:sz="4" w:space="0"/>
        <w:right w:val="single" w:color="DDD9C3" w:sz="4" w:space="0"/>
        <w:insideH w:val="single" w:color="DDD9C3" w:sz="4" w:space="0"/>
        <w:insideV w:val="single" w:color="DDD9C3" w:sz="4" w:space="0"/>
      </w:tblBorders>
      <w:tblCellMar>
        <w:top w:w="0" w:type="dxa"/>
        <w:left w:w="108" w:type="dxa"/>
        <w:bottom w:w="0" w:type="dxa"/>
        <w:right w:w="108" w:type="dxa"/>
      </w:tblCellMar>
    </w:tblPr>
    <w:tblStylePr w:type="firstRow">
      <w:rPr>
        <w:b/>
      </w:rPr>
      <w:tblPr/>
      <w:tcPr>
        <w:shd w:val="clear" w:color="auto" w:fill="D9D9D9"/>
      </w:tcPr>
    </w:tblStylePr>
  </w:style>
  <w:style w:type="table" w:styleId="TableNormalSided">
    <w:name w:val="Table Normal (Sided)"/>
    <w:basedOn w:val="TableNormal"/>
    <w:pPr>
      <w:ind w:right="0"/>
      <w:spacing w:before="0" w:after="0"/>
    </w:pPr>
    <w:rPr/>
    <w:tblPr>
      <w:tblStyleRowBandSize w:val="1"/>
      <w:tblStyleColBandSize w:val="1"/>
      <w:tblBorders>
        <w:top w:val="single" w:color="D0CECE" w:sz="4" w:space="0"/>
        <w:left w:val="single" w:color="D0CECE" w:sz="4" w:space="0"/>
        <w:bottom w:val="single" w:color="D0CECE" w:sz="4" w:space="0"/>
        <w:right w:val="single" w:color="D0CECE" w:sz="4" w:space="0"/>
        <w:insideH w:val="single" w:color="D0CECE" w:sz="6" w:space="0"/>
        <w:insideV w:val="single" w:color="D0CECE" w:sz="6" w:space="0"/>
      </w:tblBorders>
      <w:tblCellMar>
        <w:top w:w="115" w:type="dxa"/>
        <w:left w:w="115" w:type="dxa"/>
        <w:bottom w:w="0" w:type="dxa"/>
        <w:right w:w="115" w:type="dxa"/>
      </w:tblCellMar>
    </w:tblPr>
    <w:tblStylePr w:type="nwCell">
      <w:rPr>
        <w:b/>
      </w:rPr>
      <w:tblPr/>
    </w:tblStylePr>
    <w:tblStylePr w:type="firstCol">
      <w:rPr>
        <w:b/>
      </w:rPr>
      <w:tblPr/>
      <w:tcPr>
        <w:shd w:val="clear" w:color="auto" w:fill="D9D9D9"/>
      </w:tcPr>
    </w:tblStylePr>
  </w:style>
  <w:style w:type="table" w:styleId="LightList-H1">
    <w:name w:val="Light List - H1"/>
    <w:basedOn w:val="TableNormal"/>
    <w:pPr>
      <w:ind w:right="144"/>
      <w:spacing w:before="0" w:after="0"/>
    </w:pPr>
    <w:tblPr>
      <w:tblStyleRowBandSize w:val="1"/>
      <w:tblStyleColBandSize w:val="1"/>
      <w:tblBorders>
        <w:top w:val="single" w:color="000000" w:sz="8" w:space="0"/>
        <w:left w:val="single" w:color="000000" w:sz="8" w:space="0"/>
        <w:bottom w:val="single" w:color="000000" w:sz="8" w:space="0"/>
        <w:right w:val="single" w:color="000000" w:sz="8" w:space="0"/>
      </w:tblBorders>
      <w:tblCellMar>
        <w:top w:w="0" w:type="dxa"/>
        <w:left w:w="0" w:type="dxa"/>
        <w:bottom w:w="0" w:type="dxa"/>
        <w:right w:w="0" w:type="dxa"/>
      </w:tblCellMar>
    </w:tblPr>
    <w:tblStylePr w:type="firstRow">
      <w:rPr>
        <w:b/>
        <w:color w:val="FFFFFF"/>
      </w:rPr>
      <w:tblPr/>
      <w:tcPr>
        <w:shd w:val="clear" w:color="auto" w:fill="262626"/>
      </w:tcPr>
    </w:tblStylePr>
    <w:tblStylePr w:type="firstCol">
      <w:rPr>
        <w:b/>
      </w:rPr>
      <w:tblPr/>
    </w:tblStylePr>
    <w:tblStylePr w:type="lastRow">
      <w:rPr>
        <w:b/>
      </w:rPr>
      <w:tblPr/>
      <w:tcPr>
        <w:tcBorders>
          <w:top w:val="double" w:color="000000" w:sz="6" w:space="0"/>
          <w:left w:val="single" w:color="000000" w:sz="8" w:space="0"/>
          <w:bottom w:val="single" w:color="000000" w:sz="8" w:space="0"/>
          <w:right w:val="single" w:color="000000" w:sz="8" w:space="0"/>
        </w:tcBorders>
      </w:tcPr>
    </w:tblStylePr>
    <w:tblStylePr w:type="lastCol">
      <w:rPr>
        <w:b/>
      </w:rPr>
      <w:tblPr/>
    </w:tblStylePr>
    <w:tblStylePr w:type="band1Horz">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tcPr>
    </w:tblStylePr>
  </w:style>
  <w:style w:type="table" w:styleId="LightList-H2">
    <w:name w:val="Light List - H2"/>
    <w:basedOn w:val="TableNormal"/>
    <w:pPr>
      <w:ind w:right="144"/>
      <w:spacing w:before="0" w:after="0"/>
    </w:pPr>
    <w:tblPr>
      <w:tblStyleRowBandSize w:val="1"/>
      <w:tblStyleColBandSize w:val="1"/>
      <w:tblBorders>
        <w:top w:val="single" w:color="000000" w:sz="8" w:space="0"/>
        <w:left w:val="single" w:color="000000" w:sz="8" w:space="0"/>
        <w:bottom w:val="single" w:color="000000" w:sz="8" w:space="0"/>
        <w:right w:val="single" w:color="000000" w:sz="8" w:space="0"/>
      </w:tblBorders>
      <w:tblCellMar>
        <w:top w:w="0" w:type="dxa"/>
        <w:left w:w="0" w:type="dxa"/>
        <w:bottom w:w="0" w:type="dxa"/>
        <w:right w:w="0" w:type="dxa"/>
      </w:tblCellMar>
    </w:tblPr>
    <w:tblStylePr w:type="firstRow">
      <w:rPr>
        <w:b/>
        <w:color w:val="FFFFFF"/>
      </w:rPr>
      <w:tblPr/>
      <w:tcPr>
        <w:shd w:val="clear" w:color="auto" w:fill="404040"/>
      </w:tcPr>
    </w:tblStylePr>
    <w:tblStylePr w:type="firstCol">
      <w:rPr>
        <w:b/>
      </w:rPr>
      <w:tblPr/>
    </w:tblStylePr>
    <w:tblStylePr w:type="lastRow">
      <w:rPr>
        <w:b/>
      </w:rPr>
      <w:tblPr/>
      <w:tcPr>
        <w:tcBorders>
          <w:top w:val="double" w:color="000000" w:sz="6" w:space="0"/>
          <w:left w:val="single" w:color="000000" w:sz="8" w:space="0"/>
          <w:bottom w:val="single" w:color="000000" w:sz="8" w:space="0"/>
          <w:right w:val="single" w:color="000000" w:sz="8" w:space="0"/>
        </w:tcBorders>
      </w:tcPr>
    </w:tblStylePr>
    <w:tblStylePr w:type="lastCol">
      <w:rPr>
        <w:b/>
      </w:rPr>
      <w:tblPr/>
    </w:tblStylePr>
    <w:tblStylePr w:type="band1Horz">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tcPr>
    </w:tblStylePr>
  </w:style>
  <w:style w:type="table" w:styleId="LightList-H3">
    <w:name w:val="Light List - H3"/>
    <w:basedOn w:val="TableNormal"/>
    <w:pPr>
      <w:ind w:right="144"/>
      <w:spacing w:before="0" w:after="0"/>
    </w:pPr>
    <w:tblPr>
      <w:tblStyleRowBandSize w:val="1"/>
      <w:tblStyleColBandSize w:val="1"/>
      <w:tblBorders>
        <w:top w:val="single" w:color="000000" w:sz="8" w:space="0"/>
        <w:left w:val="single" w:color="000000" w:sz="8" w:space="0"/>
        <w:bottom w:val="single" w:color="000000" w:sz="8" w:space="0"/>
        <w:right w:val="single" w:color="000000" w:sz="8" w:space="0"/>
      </w:tblBorders>
      <w:tblCellMar>
        <w:top w:w="0" w:type="dxa"/>
        <w:left w:w="0" w:type="dxa"/>
        <w:bottom w:w="0" w:type="dxa"/>
        <w:right w:w="0" w:type="dxa"/>
      </w:tblCellMar>
    </w:tblPr>
    <w:tblStylePr w:type="firstRow">
      <w:rPr>
        <w:b/>
        <w:color w:val="FFFFFF"/>
      </w:rPr>
      <w:tblPr/>
      <w:tcPr>
        <w:shd w:val="clear" w:color="auto" w:fill="595959"/>
      </w:tcPr>
    </w:tblStylePr>
    <w:tblStylePr w:type="firstCol">
      <w:rPr>
        <w:b/>
      </w:rPr>
      <w:tblPr/>
    </w:tblStylePr>
    <w:tblStylePr w:type="lastRow">
      <w:rPr>
        <w:b/>
      </w:rPr>
      <w:tblPr/>
      <w:tcPr>
        <w:tcBorders>
          <w:top w:val="double" w:color="000000" w:sz="6" w:space="0"/>
          <w:left w:val="single" w:color="000000" w:sz="8" w:space="0"/>
          <w:bottom w:val="single" w:color="000000" w:sz="8" w:space="0"/>
          <w:right w:val="single" w:color="000000" w:sz="8" w:space="0"/>
        </w:tcBorders>
      </w:tcPr>
    </w:tblStylePr>
    <w:tblStylePr w:type="lastCol">
      <w:rPr>
        <w:b/>
      </w:rPr>
      <w:tblPr/>
    </w:tblStylePr>
    <w:tblStylePr w:type="band1Horz">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tcPr>
    </w:tblStylePr>
  </w:style>
  <w:style w:type="table" w:styleId="LightList-H4">
    <w:name w:val="Light List - H4"/>
    <w:basedOn w:val="TableNormal"/>
    <w:pPr>
      <w:ind w:right="144"/>
      <w:spacing w:before="0" w:after="0"/>
    </w:pPr>
    <w:tblPr>
      <w:tblStyleRowBandSize w:val="1"/>
      <w:tblStyleColBandSize w:val="1"/>
      <w:tblBorders>
        <w:top w:val="single" w:color="000000" w:sz="8" w:space="0"/>
        <w:left w:val="single" w:color="000000" w:sz="8" w:space="0"/>
        <w:bottom w:val="single" w:color="000000" w:sz="8" w:space="0"/>
        <w:right w:val="single" w:color="000000" w:sz="8" w:space="0"/>
      </w:tblBorders>
      <w:tblCellMar>
        <w:top w:w="0" w:type="dxa"/>
        <w:left w:w="0" w:type="dxa"/>
        <w:bottom w:w="0" w:type="dxa"/>
        <w:right w:w="0" w:type="dxa"/>
      </w:tblCellMar>
    </w:tblPr>
    <w:tblStylePr w:type="firstRow">
      <w:rPr>
        <w:b/>
        <w:color w:val="FFFFFF"/>
      </w:rPr>
      <w:tblPr/>
      <w:tcPr>
        <w:shd w:val="clear" w:color="auto" w:fill="7F7F7F"/>
      </w:tcPr>
    </w:tblStylePr>
    <w:tblStylePr w:type="firstCol">
      <w:rPr>
        <w:b/>
      </w:rPr>
      <w:tblPr/>
    </w:tblStylePr>
    <w:tblStylePr w:type="lastRow">
      <w:rPr>
        <w:b/>
      </w:rPr>
      <w:tblPr/>
      <w:tcPr>
        <w:tcBorders>
          <w:top w:val="double" w:color="000000" w:sz="6" w:space="0"/>
          <w:left w:val="single" w:color="000000" w:sz="8" w:space="0"/>
          <w:bottom w:val="single" w:color="000000" w:sz="8" w:space="0"/>
          <w:right w:val="single" w:color="000000" w:sz="8" w:space="0"/>
        </w:tcBorders>
      </w:tcPr>
    </w:tblStylePr>
    <w:tblStylePr w:type="lastCol">
      <w:rPr>
        <w:b/>
      </w:rPr>
      <w:tblPr/>
    </w:tblStylePr>
    <w:tblStylePr w:type="band1Horz">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tcPr>
    </w:tblStylePr>
  </w:style>
  <w:style w:type="table" w:styleId="ETLTable">
    <w:name w:val="ETLTable"/>
    <w:basedOn w:val="TableNormal"/>
    <w:pPr>
      <w:ind w:right="144"/>
      <w:spacing w:before="0" w:after="0"/>
    </w:pPr>
    <w:tblPr>
      <w:tblStyleRowBandSize w:val="1"/>
      <w:tblStyleColBandSize w:val="1"/>
      <w:tblCellMar>
        <w:top w:w="0" w:type="dxa"/>
        <w:left w:w="0" w:type="dxa"/>
        <w:bottom w:w="0" w:type="dxa"/>
        <w:right w:w="0" w:type="dxa"/>
      </w:tblCellMar>
    </w:tblPr>
    <w:tblStylePr w:type="firstRow">
      <w:rPr>
        <w:b/>
      </w:rPr>
      <w:tblPr/>
      <w:tcPr>
        <w:shd w:val="clear" w:color="auto" w:fill="ADDA90"/>
      </w:tcPr>
    </w:tblStylePr>
    <w:tblStylePr w:type="band1Horz">
      <w:tblPr/>
      <w:tcPr>
        <w:shd w:val="clear" w:color="auto" w:fill="E7F9DB"/>
      </w:tcPr>
    </w:tblStylePr>
  </w:style>
  <w:style w:type="table" w:styleId="Confirmationwithheader">
    <w:name w:val="Confirmation (with header)"/>
    <w:basedOn w:val="TableNormal"/>
    <w:pPr>
      <w:ind w:right="144"/>
      <w:spacing w:before="0" w:after="0"/>
    </w:p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0" w:type="dxa"/>
        <w:bottom w:w="0" w:type="dxa"/>
        <w:right w:w="0" w:type="dxa"/>
      </w:tblCellMar>
    </w:tblPr>
    <w:tblStylePr w:type="firstRow">
      <w:rPr>
        <w:b/>
      </w:rPr>
      <w:tblPr/>
    </w:tblStylePr>
    <w:tblStylePr w:type="firstCol">
      <w:tblPr/>
      <w:tcPr>
        <w:tcBorders>
          <w:right w:val="single" w:color="943634" w:sz="4" w:space="0"/>
          <w:insideV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LibreOffice/7.3.7.2$Linux_X86_64 LibreOffice_project/30$Build-2</Application>
  <AppVersion>15.0000</AppVersion>
  <Pages>20</Pages>
  <Words>1406</Words>
  <Characters>8585</Characters>
  <CharactersWithSpaces>9978</CharactersWithSpaces>
  <Paragraphs>155</Paragraphs>
  <Company>Training XP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2023-02-14T17:40:33Z</dcterms:created>
  <dc:creator>
	</dc:creator>
  <dc:description/>
  <cp:keywords>
 </cp:keywords>
  <dc:language>en-US</dc:language>
  <cp:lastModifiedBy/>
  <dcterms:modified xsi:type="dcterms:W3CDTF">2023-02-14T19:41:56Z</dcterms:modified>
  <cp:revision>2</cp:revision>
  <dc:subject>
	</dc:subject>
  <dc:title>SRS</dc:title>
</cp:coreProperties>
</file>

<file path=docProps/custom.xml><?xml version="1.0" encoding="utf-8"?>
<Properties xmlns="http://schemas.openxmlformats.org/officeDocument/2006/custom-properties" xmlns:vt="http://schemas.openxmlformats.org/officeDocument/2006/docPropsVTypes"/>
</file>