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color w:val="000000"/>
          <w:sz w:val="24"/>
          <w:szCs w:val="24"/>
        </w:rPr>
        <w:t xml:space="preserve">ITEC 116 – System Integration and Architecture 2</w:t>
      </w:r>
    </w:p>
    <w:p>
      <w:pPr>
        <w:spacing w:after="60"/>
        <w:jc w:val="center"/>
      </w:pPr>
      <w:r>
        <w:rPr>
          <w:rFonts w:ascii="Calibri" w:cs="Calibri" w:eastAsia="Calibri" w:hAnsi="Calibri"/>
          <w:b/>
          <w:bCs/>
          <w:color w:val="000000"/>
          <w:sz w:val="24"/>
          <w:szCs w:val="24"/>
        </w:rPr>
        <w:t xml:space="preserve">Group Activity 5: Execution &amp; Implementation (Code Base Continuation)</w:t>
      </w:r>
    </w:p>
    <w:p>
      <w:pPr>
        <w:spacing w:after="60"/>
        <w:jc w:val="center"/>
      </w:pPr>
      <w:r>
        <w:rPr>
          <w:rFonts w:ascii="Calibri" w:cs="Calibri" w:eastAsia="Calibri" w:hAnsi="Calibri"/>
          <w:b/>
          <w:bCs/>
          <w:color w:val="000000"/>
          <w:sz w:val="24"/>
          <w:szCs w:val="24"/>
        </w:rPr>
        <w:t xml:space="preserve">Focus Modules: Module 4 (Supply Chain) → Module 9 (Project Management)</w:t>
      </w:r>
    </w:p>
    <w:p>
      <w:pPr>
        <w:spacing w:after="260"/>
        <w:jc w:val="center"/>
      </w:pPr>
      <w:r>
        <w:rPr>
          <w:rFonts w:ascii="Calibri" w:cs="Calibri" w:eastAsia="Calibri" w:hAnsi="Calibri"/>
          <w:color w:val="000000"/>
          <w:sz w:val="22"/>
          <w:szCs w:val="22"/>
        </w:rPr>
        <w:t xml:space="preserve">Section: </w:t>
      </w:r>
      <w:r>
        <w:rPr>
          <w:rFonts w:ascii="Calibri" w:cs="Calibri" w:eastAsia="Calibri" w:hAnsi="Calibri"/>
          <w:color w:val="000000"/>
          <w:sz w:val="22"/>
          <w:szCs w:val="22"/>
          <w:u w:val="single"/>
        </w:rPr>
        <w:t xml:space="preserve">BSIT-3A</w:t>
      </w:r>
      <w:r>
        <w:rPr>
          <w:rFonts w:ascii="Calibri" w:cs="Calibri" w:eastAsia="Calibri" w:hAnsi="Calibri"/>
          <w:color w:val="000000"/>
          <w:sz w:val="22"/>
          <w:szCs w:val="22"/>
        </w:rPr>
        <w:t xml:space="preserve">       Group Number: </w:t>
      </w:r>
      <w:r>
        <w:rPr>
          <w:rFonts w:ascii="Calibri" w:cs="Calibri" w:eastAsia="Calibri" w:hAnsi="Calibri"/>
          <w:color w:val="000000"/>
          <w:sz w:val="22"/>
          <w:szCs w:val="22"/>
          <w:u w:val="single"/>
        </w:rPr>
        <w:t xml:space="preserve">2</w:t>
      </w:r>
    </w:p>
    <w:p>
      <w:pPr>
        <w:spacing w:after="120"/>
        <w:jc w:val="left"/>
      </w:pPr>
      <w:r>
        <w:rPr>
          <w:rFonts w:ascii="Calibri" w:cs="Calibri" w:eastAsia="Calibri" w:hAnsi="Calibri"/>
          <w:b/>
          <w:bCs/>
          <w:sz w:val="21"/>
          <w:szCs w:val="21"/>
        </w:rPr>
        <w:t xml:space="preserve">Execution Scenario: </w:t>
      </w:r>
      <w:r>
        <w:rPr>
          <w:rFonts w:ascii="Calibri" w:cs="Calibri" w:eastAsia="Calibri" w:hAnsi="Calibri"/>
          <w:sz w:val="21"/>
          <w:szCs w:val="21"/>
        </w:rPr>
        <w:t xml:space="preserve">The teams will now use their lab hours to implement and program the validated JSON data models and API specifications designed in the previous phases. This transforms the theoretical architectural design from Activity 3 (HR ↔ Finance) into an active, functional asynchronous integration for Module 4 (Supply Chain Management) and Module 9 (Project Management): when a shipment is delayed in the SCM system, the event is published, transformed, and consumed by the Project Management system so the affected task is automatically placed on hold.</w:t>
      </w:r>
    </w:p>
    <w:p>
      <w:pPr>
        <w:spacing w:after="140" w:before="260"/>
      </w:pPr>
      <w:r>
        <w:rPr>
          <w:rFonts w:ascii="Calibri" w:cs="Calibri" w:eastAsia="Calibri" w:hAnsi="Calibri"/>
          <w:b/>
          <w:bCs/>
          <w:color w:val="000000"/>
          <w:sz w:val="26"/>
          <w:szCs w:val="26"/>
        </w:rPr>
        <w:t xml:space="preserve">1. Core Executable Requirements (Track Allocation)</w:t>
      </w:r>
    </w:p>
    <w:p>
      <w:pPr>
        <w:spacing w:after="120"/>
        <w:jc w:val="left"/>
      </w:pPr>
      <w:r>
        <w:rPr>
          <w:rFonts w:ascii="Calibri" w:cs="Calibri" w:eastAsia="Calibri" w:hAnsi="Calibri"/>
          <w:sz w:val="22"/>
          <w:szCs w:val="22"/>
        </w:rPr>
        <w:t xml:space="preserve">Group 2’s nine members are assigned across the four executable tracks below, mirroring the sub-teams from Activity 3. Only Teams A, B, and C required laboratory equipment for coding and deployment; Team D managed the integration workflow, KPIs, and final validation.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900"/>
        <w:gridCol w:w="3000"/>
      </w:tblGrid>
      <w:tr>
        <w:trPr>
          <w:tblHeader/>
        </w:trPr>
        <w:tc>
          <w:tcPr>
            <w:tcW w:type="dxa" w:w="1600"/>
            <w:shd w:fill="C6E0B4" w:val="clear"/>
            <w:tcMar>
              <w:top w:type="dxa" w:w="80"/>
              <w:left w:type="dxa" w:w="110"/>
              <w:bottom w:type="dxa" w:w="80"/>
              <w:right w:type="dxa" w:w="110"/>
            </w:tcMar>
            <w:vAlign w:val="center"/>
          </w:tcPr>
          <w:p>
            <w:r>
              <w:rPr>
                <w:rFonts w:ascii="Calibri" w:cs="Calibri" w:eastAsia="Calibri" w:hAnsi="Calibri"/>
                <w:b/>
                <w:bCs/>
                <w:color w:val="000000"/>
                <w:sz w:val="20"/>
                <w:szCs w:val="20"/>
              </w:rPr>
              <w:t xml:space="preserve">Engineering Track</w:t>
            </w:r>
          </w:p>
        </w:tc>
        <w:tc>
          <w:tcPr>
            <w:tcW w:type="dxa" w:w="3200"/>
            <w:shd w:fill="C6E0B4" w:val="clear"/>
            <w:tcMar>
              <w:top w:type="dxa" w:w="80"/>
              <w:left w:type="dxa" w:w="110"/>
              <w:bottom w:type="dxa" w:w="80"/>
              <w:right w:type="dxa" w:w="110"/>
            </w:tcMar>
            <w:vAlign w:val="center"/>
          </w:tcPr>
          <w:p>
            <w:r>
              <w:rPr>
                <w:rFonts w:ascii="Calibri" w:cs="Calibri" w:eastAsia="Calibri" w:hAnsi="Calibri"/>
                <w:b/>
                <w:bCs/>
                <w:color w:val="000000"/>
                <w:sz w:val="20"/>
                <w:szCs w:val="20"/>
              </w:rPr>
              <w:t xml:space="preserve">Execution Focus (Coding &amp; Implementation)</w:t>
            </w:r>
          </w:p>
        </w:tc>
        <w:tc>
          <w:tcPr>
            <w:tcW w:type="dxa" w:w="1900"/>
            <w:shd w:fill="C6E0B4" w:val="clear"/>
            <w:tcMar>
              <w:top w:type="dxa" w:w="80"/>
              <w:left w:type="dxa" w:w="110"/>
              <w:bottom w:type="dxa" w:w="80"/>
              <w:right w:type="dxa" w:w="110"/>
            </w:tcMar>
            <w:vAlign w:val="center"/>
          </w:tcPr>
          <w:p>
            <w:r>
              <w:rPr>
                <w:rFonts w:ascii="Calibri" w:cs="Calibri" w:eastAsia="Calibri" w:hAnsi="Calibri"/>
                <w:b/>
                <w:bCs/>
                <w:color w:val="000000"/>
                <w:sz w:val="20"/>
                <w:szCs w:val="20"/>
              </w:rPr>
              <w:t xml:space="preserve">Members</w:t>
            </w:r>
          </w:p>
        </w:tc>
        <w:tc>
          <w:tcPr>
            <w:tcW w:type="dxa" w:w="3000"/>
            <w:shd w:fill="C6E0B4" w:val="clear"/>
            <w:tcMar>
              <w:top w:type="dxa" w:w="80"/>
              <w:left w:type="dxa" w:w="110"/>
              <w:bottom w:type="dxa" w:w="80"/>
              <w:right w:type="dxa" w:w="110"/>
            </w:tcMar>
            <w:vAlign w:val="center"/>
          </w:tcPr>
          <w:p>
            <w:r>
              <w:rPr>
                <w:rFonts w:ascii="Calibri" w:cs="Calibri" w:eastAsia="Calibri" w:hAnsi="Calibri"/>
                <w:b/>
                <w:bCs/>
                <w:color w:val="000000"/>
                <w:sz w:val="20"/>
                <w:szCs w:val="20"/>
              </w:rPr>
              <w:t xml:space="preserve">Required Executable Output for Activity 5 (Submit 1 Code Base + 1 PDF)</w:t>
            </w:r>
          </w:p>
        </w:tc>
      </w:tr>
      <w:tr>
        <w:tc>
          <w:tcPr>
            <w:tcW w:type="dxa" w:w="1600"/>
            <w:shd w:fill="DDEBF7" w:val="clear"/>
            <w:tcMar>
              <w:top w:type="dxa" w:w="80"/>
              <w:left w:type="dxa" w:w="110"/>
              <w:bottom w:type="dxa" w:w="80"/>
              <w:right w:type="dxa" w:w="110"/>
            </w:tcMar>
            <w:vAlign w:val="center"/>
          </w:tcPr>
          <w:p>
            <w:r>
              <w:rPr>
                <w:rFonts w:ascii="Calibri" w:cs="Calibri" w:eastAsia="Calibri" w:hAnsi="Calibri"/>
                <w:b/>
                <w:bCs/>
                <w:color w:val="000000"/>
                <w:sz w:val="20"/>
                <w:szCs w:val="20"/>
              </w:rPr>
              <w:t xml:space="preserve">A: SCM Engineers (Node A)</w:t>
            </w:r>
          </w:p>
        </w:tc>
        <w:tc>
          <w:tcPr>
            <w:tcW w:type="dxa" w:w="3200"/>
            <w:tcMar>
              <w:top w:type="dxa" w:w="80"/>
              <w:left w:type="dxa" w:w="110"/>
              <w:bottom w:type="dxa" w:w="80"/>
              <w:right w:type="dxa" w:w="110"/>
            </w:tcMar>
            <w:vAlign w:val="center"/>
          </w:tcPr>
          <w:p>
            <w:r>
              <w:rPr>
                <w:rFonts w:ascii="Calibri" w:cs="Calibri" w:eastAsia="Calibri" w:hAnsi="Calibri"/>
                <w:color w:val="000000"/>
                <w:sz w:val="20"/>
                <w:szCs w:val="20"/>
              </w:rPr>
              <w:t xml:space="preserve">Track Focus: Outgoing Webhook Event (REST API Publish Node).</w:t>
            </w:r>
          </w:p>
        </w:tc>
        <w:tc>
          <w:tcPr>
            <w:tcW w:type="dxa" w:w="1900"/>
            <w:tcMar>
              <w:top w:type="dxa" w:w="80"/>
              <w:left w:type="dxa" w:w="110"/>
              <w:bottom w:type="dxa" w:w="80"/>
              <w:right w:type="dxa" w:w="110"/>
            </w:tcMar>
            <w:vAlign w:val="center"/>
          </w:tcPr>
          <w:p>
            <w:r>
              <w:rPr>
                <w:rFonts w:ascii="Calibri" w:cs="Calibri" w:eastAsia="Calibri" w:hAnsi="Calibri"/>
                <w:color w:val="000000"/>
                <w:sz w:val="20"/>
                <w:szCs w:val="20"/>
              </w:rPr>
              <w:t xml:space="preserve">1. Charls Sampaga
2. Kian Lhei Pagkaliwagan</w:t>
            </w:r>
          </w:p>
        </w:tc>
        <w:tc>
          <w:tcPr>
            <w:tcW w:type="dxa" w:w="3000"/>
            <w:tcMar>
              <w:top w:type="dxa" w:w="80"/>
              <w:left w:type="dxa" w:w="110"/>
              <w:bottom w:type="dxa" w:w="80"/>
              <w:right w:type="dxa" w:w="110"/>
            </w:tcMar>
            <w:vAlign w:val="center"/>
          </w:tcPr>
          <w:p>
            <w:r>
              <w:rPr>
                <w:rFonts w:ascii="Calibri" w:cs="Calibri" w:eastAsia="Calibri" w:hAnsi="Calibri"/>
                <w:color w:val="000000"/>
                <w:sz w:val="20"/>
                <w:szCs w:val="20"/>
              </w:rPr>
              <w:t xml:space="preserve">1. Validated and syntactically correct JSON payload for the “Shipment Delayed” event.</w:t>
            </w:r>
          </w:p>
        </w:tc>
      </w:tr>
      <w:tr>
        <w:tc>
          <w:tcPr>
            <w:tcW w:type="dxa" w:w="1600"/>
            <w:shd w:fill="DDEBF7" w:val="clear"/>
            <w:tcMar>
              <w:top w:type="dxa" w:w="80"/>
              <w:left w:type="dxa" w:w="110"/>
              <w:bottom w:type="dxa" w:w="80"/>
              <w:right w:type="dxa" w:w="110"/>
            </w:tcMar>
            <w:vAlign w:val="center"/>
          </w:tcPr>
          <w:p>
            <w:r>
              <w:rPr>
                <w:rFonts w:ascii="Calibri" w:cs="Calibri" w:eastAsia="Calibri" w:hAnsi="Calibri"/>
                <w:b/>
                <w:bCs/>
                <w:color w:val="000000"/>
                <w:sz w:val="20"/>
                <w:szCs w:val="20"/>
              </w:rPr>
              <w:t xml:space="preserve">A: SCM Engineers (Node A)</w:t>
            </w:r>
          </w:p>
        </w:tc>
        <w:tc>
          <w:tcPr>
            <w:tcW w:type="dxa" w:w="3200"/>
            <w:tcMar>
              <w:top w:type="dxa" w:w="80"/>
              <w:left w:type="dxa" w:w="110"/>
              <w:bottom w:type="dxa" w:w="80"/>
              <w:right w:type="dxa" w:w="110"/>
            </w:tcMar>
            <w:vAlign w:val="center"/>
          </w:tcPr>
          <w:p>
            <w:r>
              <w:rPr>
                <w:rFonts w:ascii="Calibri" w:cs="Calibri" w:eastAsia="Calibri" w:hAnsi="Calibri"/>
                <w:color w:val="000000"/>
                <w:sz w:val="20"/>
                <w:szCs w:val="20"/>
              </w:rPr>
              <w:t xml:space="preserve">Laboratory Work: Programming the SCM application to emit the standardized webhook event upon a simulated state change (Node.js/Express publisher, see Task 1).</w:t>
            </w:r>
          </w:p>
        </w:tc>
        <w:tc>
          <w:tcPr>
            <w:tcW w:type="dxa" w:w="1900"/>
            <w:tcMar>
              <w:top w:type="dxa" w:w="80"/>
              <w:left w:type="dxa" w:w="110"/>
              <w:bottom w:type="dxa" w:w="80"/>
              <w:right w:type="dxa" w:w="110"/>
            </w:tcMar>
            <w:vAlign w:val="center"/>
          </w:tcPr>
          <w:p>
            <w:r>
              <w:rPr>
                <w:rFonts w:ascii="Calibri" w:cs="Calibri" w:eastAsia="Calibri" w:hAnsi="Calibri"/>
                <w:color w:val="000000"/>
                <w:sz w:val="20"/>
                <w:szCs w:val="20"/>
              </w:rPr>
              <w:t xml:space="preserve">2. (see above)</w:t>
            </w:r>
          </w:p>
        </w:tc>
        <w:tc>
          <w:tcPr>
            <w:tcW w:type="dxa" w:w="3000"/>
            <w:tcMar>
              <w:top w:type="dxa" w:w="80"/>
              <w:left w:type="dxa" w:w="110"/>
              <w:bottom w:type="dxa" w:w="80"/>
              <w:right w:type="dxa" w:w="110"/>
            </w:tcMar>
            <w:vAlign w:val="center"/>
          </w:tcPr>
          <w:p>
            <w:r>
              <w:rPr>
                <w:rFonts w:ascii="Calibri" w:cs="Calibri" w:eastAsia="Calibri" w:hAnsi="Calibri"/>
                <w:color w:val="000000"/>
                <w:sz w:val="20"/>
                <w:szCs w:val="20"/>
              </w:rPr>
              <w:t xml:space="preserve">2. Documented and functional REST API specification (POST /api/v1/scm/webhooks/publish) and executed Postman test showing a 200/201 response.</w:t>
            </w:r>
          </w:p>
        </w:tc>
      </w:tr>
      <w:tr>
        <w:tc>
          <w:tcPr>
            <w:tcW w:type="dxa" w:w="1600"/>
            <w:shd w:fill="DDEBF7" w:val="clear"/>
            <w:tcMar>
              <w:top w:type="dxa" w:w="80"/>
              <w:left w:type="dxa" w:w="110"/>
              <w:bottom w:type="dxa" w:w="80"/>
              <w:right w:type="dxa" w:w="110"/>
            </w:tcMar>
            <w:vAlign w:val="center"/>
          </w:tcPr>
          <w:p>
            <w:r>
              <w:rPr>
                <w:rFonts w:ascii="Calibri" w:cs="Calibri" w:eastAsia="Calibri" w:hAnsi="Calibri"/>
                <w:b/>
                <w:bCs/>
                <w:color w:val="000000"/>
                <w:sz w:val="20"/>
                <w:szCs w:val="20"/>
              </w:rPr>
              <w:t xml:space="preserve">A: SCM Engineers (Node A)</w:t>
            </w:r>
          </w:p>
        </w:tc>
        <w:tc>
          <w:tcPr>
            <w:tcW w:type="dxa" w:w="3200"/>
            <w:tcMar>
              <w:top w:type="dxa" w:w="80"/>
              <w:left w:type="dxa" w:w="110"/>
              <w:bottom w:type="dxa" w:w="80"/>
              <w:right w:type="dxa" w:w="110"/>
            </w:tcMar>
            <w:vAlign w:val="center"/>
          </w:tcPr>
          <w:p>
            <w:r>
              <w:rPr>
                <w:rFonts w:ascii="Calibri" w:cs="Calibri" w:eastAsia="Calibri" w:hAnsi="Calibri"/>
                <w:color w:val="000000"/>
                <w:sz w:val="20"/>
                <w:szCs w:val="20"/>
              </w:rPr>
              <w:t xml:space="preserve"> </w:t>
            </w:r>
          </w:p>
        </w:tc>
        <w:tc>
          <w:tcPr>
            <w:tcW w:type="dxa" w:w="1900"/>
            <w:tcMar>
              <w:top w:type="dxa" w:w="80"/>
              <w:left w:type="dxa" w:w="110"/>
              <w:bottom w:type="dxa" w:w="80"/>
              <w:right w:type="dxa" w:w="110"/>
            </w:tcMar>
            <w:vAlign w:val="center"/>
          </w:tcPr>
          <w:p>
            <w:r>
              <w:rPr>
                <w:rFonts w:ascii="Calibri" w:cs="Calibri" w:eastAsia="Calibri" w:hAnsi="Calibri"/>
                <w:color w:val="000000"/>
                <w:sz w:val="20"/>
                <w:szCs w:val="20"/>
              </w:rPr>
              <w:t xml:space="preserve">3. —</w:t>
            </w:r>
          </w:p>
        </w:tc>
        <w:tc>
          <w:tcPr>
            <w:tcW w:type="dxa" w:w="3000"/>
            <w:tcMar>
              <w:top w:type="dxa" w:w="80"/>
              <w:left w:type="dxa" w:w="110"/>
              <w:bottom w:type="dxa" w:w="80"/>
              <w:right w:type="dxa" w:w="110"/>
            </w:tcMar>
            <w:vAlign w:val="center"/>
          </w:tcPr>
          <w:p>
            <w:r>
              <w:rPr>
                <w:rFonts w:ascii="Calibri" w:cs="Calibri" w:eastAsia="Calibri" w:hAnsi="Calibri"/>
                <w:color w:val="000000"/>
                <w:sz w:val="20"/>
                <w:szCs w:val="20"/>
              </w:rPr>
              <w:t xml:space="preserve"> </w:t>
            </w:r>
          </w:p>
        </w:tc>
      </w:tr>
      <w:tr>
        <w:tc>
          <w:tcPr>
            <w:tcW w:type="dxa" w:w="1600"/>
            <w:shd w:fill="FCE4D6" w:val="clear"/>
            <w:tcMar>
              <w:top w:type="dxa" w:w="80"/>
              <w:left w:type="dxa" w:w="110"/>
              <w:bottom w:type="dxa" w:w="80"/>
              <w:right w:type="dxa" w:w="110"/>
            </w:tcMar>
            <w:vAlign w:val="center"/>
          </w:tcPr>
          <w:p>
            <w:r>
              <w:rPr>
                <w:rFonts w:ascii="Calibri" w:cs="Calibri" w:eastAsia="Calibri" w:hAnsi="Calibri"/>
                <w:b/>
                <w:bCs/>
                <w:color w:val="000000"/>
                <w:sz w:val="20"/>
                <w:szCs w:val="20"/>
              </w:rPr>
              <w:t xml:space="preserve">B: PM Engineers (Node B)</w:t>
            </w:r>
          </w:p>
        </w:tc>
        <w:tc>
          <w:tcPr>
            <w:tcW w:type="dxa" w:w="3200"/>
            <w:tcMar>
              <w:top w:type="dxa" w:w="80"/>
              <w:left w:type="dxa" w:w="110"/>
              <w:bottom w:type="dxa" w:w="80"/>
              <w:right w:type="dxa" w:w="110"/>
            </w:tcMar>
            <w:vAlign w:val="center"/>
          </w:tcPr>
          <w:p>
            <w:r>
              <w:rPr>
                <w:rFonts w:ascii="Calibri" w:cs="Calibri" w:eastAsia="Calibri" w:hAnsi="Calibri"/>
                <w:color w:val="000000"/>
                <w:sz w:val="20"/>
                <w:szCs w:val="20"/>
              </w:rPr>
              <w:t xml:space="preserve">Track Focus: Incoming REST API Endpoint (Subscription Node).</w:t>
            </w:r>
          </w:p>
        </w:tc>
        <w:tc>
          <w:tcPr>
            <w:tcW w:type="dxa" w:w="1900"/>
            <w:tcMar>
              <w:top w:type="dxa" w:w="80"/>
              <w:left w:type="dxa" w:w="110"/>
              <w:bottom w:type="dxa" w:w="80"/>
              <w:right w:type="dxa" w:w="110"/>
            </w:tcMar>
            <w:vAlign w:val="center"/>
          </w:tcPr>
          <w:p>
            <w:r>
              <w:rPr>
                <w:rFonts w:ascii="Calibri" w:cs="Calibri" w:eastAsia="Calibri" w:hAnsi="Calibri"/>
                <w:color w:val="000000"/>
                <w:sz w:val="20"/>
                <w:szCs w:val="20"/>
              </w:rPr>
              <w:t xml:space="preserve">1. Mhar Granado
2. Messiahlyn Mae Mabilangan</w:t>
            </w:r>
          </w:p>
        </w:tc>
        <w:tc>
          <w:tcPr>
            <w:tcW w:type="dxa" w:w="3000"/>
            <w:tcMar>
              <w:top w:type="dxa" w:w="80"/>
              <w:left w:type="dxa" w:w="110"/>
              <w:bottom w:type="dxa" w:w="80"/>
              <w:right w:type="dxa" w:w="110"/>
            </w:tcMar>
            <w:vAlign w:val="center"/>
          </w:tcPr>
          <w:p>
            <w:r>
              <w:rPr>
                <w:rFonts w:ascii="Calibri" w:cs="Calibri" w:eastAsia="Calibri" w:hAnsi="Calibri"/>
                <w:color w:val="000000"/>
                <w:sz w:val="20"/>
                <w:szCs w:val="20"/>
              </w:rPr>
              <w:t xml:space="preserve">1. Documentation of incoming REST API contract (JSON specs) for POST /api/v1/pm/webhooks/shipment-events.</w:t>
            </w:r>
          </w:p>
        </w:tc>
      </w:tr>
      <w:tr>
        <w:tc>
          <w:tcPr>
            <w:tcW w:type="dxa" w:w="1600"/>
            <w:shd w:fill="FCE4D6" w:val="clear"/>
            <w:tcMar>
              <w:top w:type="dxa" w:w="80"/>
              <w:left w:type="dxa" w:w="110"/>
              <w:bottom w:type="dxa" w:w="80"/>
              <w:right w:type="dxa" w:w="110"/>
            </w:tcMar>
            <w:vAlign w:val="center"/>
          </w:tcPr>
          <w:p>
            <w:r>
              <w:rPr>
                <w:rFonts w:ascii="Calibri" w:cs="Calibri" w:eastAsia="Calibri" w:hAnsi="Calibri"/>
                <w:b/>
                <w:bCs/>
                <w:color w:val="000000"/>
                <w:sz w:val="20"/>
                <w:szCs w:val="20"/>
              </w:rPr>
              <w:t xml:space="preserve">B: PM Engineers (Node B)</w:t>
            </w:r>
          </w:p>
        </w:tc>
        <w:tc>
          <w:tcPr>
            <w:tcW w:type="dxa" w:w="3200"/>
            <w:tcMar>
              <w:top w:type="dxa" w:w="80"/>
              <w:left w:type="dxa" w:w="110"/>
              <w:bottom w:type="dxa" w:w="80"/>
              <w:right w:type="dxa" w:w="110"/>
            </w:tcMar>
            <w:vAlign w:val="center"/>
          </w:tcPr>
          <w:p>
            <w:r>
              <w:rPr>
                <w:rFonts w:ascii="Calibri" w:cs="Calibri" w:eastAsia="Calibri" w:hAnsi="Calibri"/>
                <w:color w:val="000000"/>
                <w:sz w:val="20"/>
                <w:szCs w:val="20"/>
              </w:rPr>
              <w:t xml:space="preserve">Laboratory Work: Programming the PM application’s REST API to securely ingest and validate the incoming JSON payload (schema validation on projectId, taskId, impactNotes).</w:t>
            </w:r>
          </w:p>
        </w:tc>
        <w:tc>
          <w:tcPr>
            <w:tcW w:type="dxa" w:w="1900"/>
            <w:tcMar>
              <w:top w:type="dxa" w:w="80"/>
              <w:left w:type="dxa" w:w="110"/>
              <w:bottom w:type="dxa" w:w="80"/>
              <w:right w:type="dxa" w:w="110"/>
            </w:tcMar>
            <w:vAlign w:val="center"/>
          </w:tcPr>
          <w:p>
            <w:r>
              <w:rPr>
                <w:rFonts w:ascii="Calibri" w:cs="Calibri" w:eastAsia="Calibri" w:hAnsi="Calibri"/>
                <w:color w:val="000000"/>
                <w:sz w:val="20"/>
                <w:szCs w:val="20"/>
              </w:rPr>
              <w:t xml:space="preserve">2. (see above)</w:t>
            </w:r>
          </w:p>
        </w:tc>
        <w:tc>
          <w:tcPr>
            <w:tcW w:type="dxa" w:w="3000"/>
            <w:tcMar>
              <w:top w:type="dxa" w:w="80"/>
              <w:left w:type="dxa" w:w="110"/>
              <w:bottom w:type="dxa" w:w="80"/>
              <w:right w:type="dxa" w:w="110"/>
            </w:tcMar>
            <w:vAlign w:val="center"/>
          </w:tcPr>
          <w:p>
            <w:r>
              <w:rPr>
                <w:rFonts w:ascii="Calibri" w:cs="Calibri" w:eastAsia="Calibri" w:hAnsi="Calibri"/>
                <w:color w:val="000000"/>
                <w:sz w:val="20"/>
                <w:szCs w:val="20"/>
              </w:rPr>
              <w:t xml:space="preserve">2. Executable logic to accept and process transformed data, with 400/401 error handling for invalid or unauthenticated calls.</w:t>
            </w:r>
          </w:p>
        </w:tc>
      </w:tr>
      <w:tr>
        <w:tc>
          <w:tcPr>
            <w:tcW w:type="dxa" w:w="1600"/>
            <w:shd w:fill="FCE4D6" w:val="clear"/>
            <w:tcMar>
              <w:top w:type="dxa" w:w="80"/>
              <w:left w:type="dxa" w:w="110"/>
              <w:bottom w:type="dxa" w:w="80"/>
              <w:right w:type="dxa" w:w="110"/>
            </w:tcMar>
            <w:vAlign w:val="center"/>
          </w:tcPr>
          <w:p>
            <w:r>
              <w:rPr>
                <w:rFonts w:ascii="Calibri" w:cs="Calibri" w:eastAsia="Calibri" w:hAnsi="Calibri"/>
                <w:b/>
                <w:bCs/>
                <w:color w:val="000000"/>
                <w:sz w:val="20"/>
                <w:szCs w:val="20"/>
              </w:rPr>
              <w:t xml:space="preserve">B: PM Engineers (Node B)</w:t>
            </w:r>
          </w:p>
        </w:tc>
        <w:tc>
          <w:tcPr>
            <w:tcW w:type="dxa" w:w="3200"/>
            <w:tcMar>
              <w:top w:type="dxa" w:w="80"/>
              <w:left w:type="dxa" w:w="110"/>
              <w:bottom w:type="dxa" w:w="80"/>
              <w:right w:type="dxa" w:w="110"/>
            </w:tcMar>
            <w:vAlign w:val="center"/>
          </w:tcPr>
          <w:p>
            <w:r>
              <w:rPr>
                <w:rFonts w:ascii="Calibri" w:cs="Calibri" w:eastAsia="Calibri" w:hAnsi="Calibri"/>
                <w:color w:val="000000"/>
                <w:sz w:val="20"/>
                <w:szCs w:val="20"/>
              </w:rPr>
              <w:t xml:space="preserve"> </w:t>
            </w:r>
          </w:p>
        </w:tc>
        <w:tc>
          <w:tcPr>
            <w:tcW w:type="dxa" w:w="1900"/>
            <w:tcMar>
              <w:top w:type="dxa" w:w="80"/>
              <w:left w:type="dxa" w:w="110"/>
              <w:bottom w:type="dxa" w:w="80"/>
              <w:right w:type="dxa" w:w="110"/>
            </w:tcMar>
            <w:vAlign w:val="center"/>
          </w:tcPr>
          <w:p>
            <w:r>
              <w:rPr>
                <w:rFonts w:ascii="Calibri" w:cs="Calibri" w:eastAsia="Calibri" w:hAnsi="Calibri"/>
                <w:color w:val="000000"/>
                <w:sz w:val="20"/>
                <w:szCs w:val="20"/>
              </w:rPr>
              <w:t xml:space="preserve">3. —</w:t>
            </w:r>
          </w:p>
        </w:tc>
        <w:tc>
          <w:tcPr>
            <w:tcW w:type="dxa" w:w="3000"/>
            <w:tcMar>
              <w:top w:type="dxa" w:w="80"/>
              <w:left w:type="dxa" w:w="110"/>
              <w:bottom w:type="dxa" w:w="80"/>
              <w:right w:type="dxa" w:w="110"/>
            </w:tcMar>
            <w:vAlign w:val="center"/>
          </w:tcPr>
          <w:p>
            <w:r>
              <w:rPr>
                <w:rFonts w:ascii="Calibri" w:cs="Calibri" w:eastAsia="Calibri" w:hAnsi="Calibri"/>
                <w:color w:val="000000"/>
                <w:sz w:val="20"/>
                <w:szCs w:val="20"/>
              </w:rPr>
              <w:t xml:space="preserve"> </w:t>
            </w:r>
          </w:p>
        </w:tc>
      </w:tr>
      <w:tr>
        <w:tc>
          <w:tcPr>
            <w:tcW w:type="dxa" w:w="1600"/>
            <w:shd w:fill="E2EFDA" w:val="clear"/>
            <w:tcMar>
              <w:top w:type="dxa" w:w="80"/>
              <w:left w:type="dxa" w:w="110"/>
              <w:bottom w:type="dxa" w:w="80"/>
              <w:right w:type="dxa" w:w="110"/>
            </w:tcMar>
            <w:vAlign w:val="center"/>
          </w:tcPr>
          <w:p>
            <w:r>
              <w:rPr>
                <w:rFonts w:ascii="Calibri" w:cs="Calibri" w:eastAsia="Calibri" w:hAnsi="Calibri"/>
                <w:b/>
                <w:bCs/>
                <w:color w:val="000000"/>
                <w:sz w:val="20"/>
                <w:szCs w:val="20"/>
              </w:rPr>
              <w:t xml:space="preserve">C: Architects (Middleware Node C)</w:t>
            </w:r>
          </w:p>
        </w:tc>
        <w:tc>
          <w:tcPr>
            <w:tcW w:type="dxa" w:w="3200"/>
            <w:tcMar>
              <w:top w:type="dxa" w:w="80"/>
              <w:left w:type="dxa" w:w="110"/>
              <w:bottom w:type="dxa" w:w="80"/>
              <w:right w:type="dxa" w:w="110"/>
            </w:tcMar>
            <w:vAlign w:val="center"/>
          </w:tcPr>
          <w:p>
            <w:r>
              <w:rPr>
                <w:rFonts w:ascii="Calibri" w:cs="Calibri" w:eastAsia="Calibri" w:hAnsi="Calibri"/>
                <w:color w:val="000000"/>
                <w:sz w:val="20"/>
                <w:szCs w:val="20"/>
              </w:rPr>
              <w:t xml:space="preserve">Track Focus: Data Schema Transformation, Logic, &amp; Async Routing.</w:t>
            </w:r>
          </w:p>
        </w:tc>
        <w:tc>
          <w:tcPr>
            <w:tcW w:type="dxa" w:w="1900"/>
            <w:tcMar>
              <w:top w:type="dxa" w:w="80"/>
              <w:left w:type="dxa" w:w="110"/>
              <w:bottom w:type="dxa" w:w="80"/>
              <w:right w:type="dxa" w:w="110"/>
            </w:tcMar>
            <w:vAlign w:val="center"/>
          </w:tcPr>
          <w:p>
            <w:r>
              <w:rPr>
                <w:rFonts w:ascii="Calibri" w:cs="Calibri" w:eastAsia="Calibri" w:hAnsi="Calibri"/>
                <w:color w:val="000000"/>
                <w:sz w:val="20"/>
                <w:szCs w:val="20"/>
              </w:rPr>
              <w:t xml:space="preserve">1. Laurence Barcarse
2. Curlh Joseph Jordan Golez
3. Stephanie April Romo</w:t>
            </w:r>
          </w:p>
        </w:tc>
        <w:tc>
          <w:tcPr>
            <w:tcW w:type="dxa" w:w="3000"/>
            <w:tcMar>
              <w:top w:type="dxa" w:w="80"/>
              <w:left w:type="dxa" w:w="110"/>
              <w:bottom w:type="dxa" w:w="80"/>
              <w:right w:type="dxa" w:w="110"/>
            </w:tcMar>
            <w:vAlign w:val="center"/>
          </w:tcPr>
          <w:p>
            <w:r>
              <w:rPr>
                <w:rFonts w:ascii="Calibri" w:cs="Calibri" w:eastAsia="Calibri" w:hAnsi="Calibri"/>
                <w:color w:val="000000"/>
                <w:sz w:val="20"/>
                <w:szCs w:val="20"/>
              </w:rPr>
              <w:t xml:space="preserve">1. Complete Data Field Mapping Matrix (field mapping, casting, and business rule definitions).</w:t>
            </w:r>
          </w:p>
        </w:tc>
      </w:tr>
      <w:tr>
        <w:tc>
          <w:tcPr>
            <w:tcW w:type="dxa" w:w="1600"/>
            <w:shd w:fill="E2EFDA" w:val="clear"/>
            <w:tcMar>
              <w:top w:type="dxa" w:w="80"/>
              <w:left w:type="dxa" w:w="110"/>
              <w:bottom w:type="dxa" w:w="80"/>
              <w:right w:type="dxa" w:w="110"/>
            </w:tcMar>
            <w:vAlign w:val="center"/>
          </w:tcPr>
          <w:p>
            <w:r>
              <w:rPr>
                <w:rFonts w:ascii="Calibri" w:cs="Calibri" w:eastAsia="Calibri" w:hAnsi="Calibri"/>
                <w:b/>
                <w:bCs/>
                <w:color w:val="000000"/>
                <w:sz w:val="20"/>
                <w:szCs w:val="20"/>
              </w:rPr>
              <w:t xml:space="preserve">C: Architects (Middleware Node C)</w:t>
            </w:r>
          </w:p>
        </w:tc>
        <w:tc>
          <w:tcPr>
            <w:tcW w:type="dxa" w:w="3200"/>
            <w:tcMar>
              <w:top w:type="dxa" w:w="80"/>
              <w:left w:type="dxa" w:w="110"/>
              <w:bottom w:type="dxa" w:w="80"/>
              <w:right w:type="dxa" w:w="110"/>
            </w:tcMar>
            <w:vAlign w:val="center"/>
          </w:tcPr>
          <w:p>
            <w:r>
              <w:rPr>
                <w:rFonts w:ascii="Calibri" w:cs="Calibri" w:eastAsia="Calibri" w:hAnsi="Calibri"/>
                <w:color w:val="000000"/>
                <w:sz w:val="20"/>
                <w:szCs w:val="20"/>
              </w:rPr>
              <w:t xml:space="preserve">Laboratory Work: Programming the middleware layer (serverless function) to cast schemas, sum/derive values, and map values between the systems, while enforcing Saga-pattern compensating transactions.</w:t>
            </w:r>
          </w:p>
        </w:tc>
        <w:tc>
          <w:tcPr>
            <w:tcW w:type="dxa" w:w="1900"/>
            <w:tcMar>
              <w:top w:type="dxa" w:w="80"/>
              <w:left w:type="dxa" w:w="110"/>
              <w:bottom w:type="dxa" w:w="80"/>
              <w:right w:type="dxa" w:w="110"/>
            </w:tcMar>
            <w:vAlign w:val="center"/>
          </w:tcPr>
          <w:p>
            <w:r>
              <w:rPr>
                <w:rFonts w:ascii="Calibri" w:cs="Calibri" w:eastAsia="Calibri" w:hAnsi="Calibri"/>
                <w:color w:val="000000"/>
                <w:sz w:val="20"/>
                <w:szCs w:val="20"/>
              </w:rPr>
              <w:t xml:space="preserve">2. (see above)</w:t>
            </w:r>
          </w:p>
        </w:tc>
        <w:tc>
          <w:tcPr>
            <w:tcW w:type="dxa" w:w="3000"/>
            <w:tcMar>
              <w:top w:type="dxa" w:w="80"/>
              <w:left w:type="dxa" w:w="110"/>
              <w:bottom w:type="dxa" w:w="80"/>
              <w:right w:type="dxa" w:w="110"/>
            </w:tcMar>
            <w:vAlign w:val="center"/>
          </w:tcPr>
          <w:p>
            <w:r>
              <w:rPr>
                <w:rFonts w:ascii="Calibri" w:cs="Calibri" w:eastAsia="Calibri" w:hAnsi="Calibri"/>
                <w:color w:val="000000"/>
                <w:sz w:val="20"/>
                <w:szCs w:val="20"/>
              </w:rPr>
              <w:t xml:space="preserve">2. Implemented and confirmed Asynchronous Resiliency (Retry strategy + Dead Letter Queue + Idempotency Key defined in code).</w:t>
            </w:r>
          </w:p>
        </w:tc>
      </w:tr>
      <w:tr>
        <w:tc>
          <w:tcPr>
            <w:tcW w:type="dxa" w:w="1600"/>
            <w:shd w:fill="E2EFDA" w:val="clear"/>
            <w:tcMar>
              <w:top w:type="dxa" w:w="80"/>
              <w:left w:type="dxa" w:w="110"/>
              <w:bottom w:type="dxa" w:w="80"/>
              <w:right w:type="dxa" w:w="110"/>
            </w:tcMar>
            <w:vAlign w:val="center"/>
          </w:tcPr>
          <w:p>
            <w:r>
              <w:rPr>
                <w:rFonts w:ascii="Calibri" w:cs="Calibri" w:eastAsia="Calibri" w:hAnsi="Calibri"/>
                <w:b/>
                <w:bCs/>
                <w:color w:val="000000"/>
                <w:sz w:val="20"/>
                <w:szCs w:val="20"/>
              </w:rPr>
              <w:t xml:space="preserve">C: Architects (Middleware Node C)</w:t>
            </w:r>
          </w:p>
        </w:tc>
        <w:tc>
          <w:tcPr>
            <w:tcW w:type="dxa" w:w="3200"/>
            <w:tcMar>
              <w:top w:type="dxa" w:w="80"/>
              <w:left w:type="dxa" w:w="110"/>
              <w:bottom w:type="dxa" w:w="80"/>
              <w:right w:type="dxa" w:w="110"/>
            </w:tcMar>
            <w:vAlign w:val="center"/>
          </w:tcPr>
          <w:p>
            <w:r>
              <w:rPr>
                <w:rFonts w:ascii="Calibri" w:cs="Calibri" w:eastAsia="Calibri" w:hAnsi="Calibri"/>
                <w:color w:val="000000"/>
                <w:sz w:val="20"/>
                <w:szCs w:val="20"/>
              </w:rPr>
              <w:t xml:space="preserve"> </w:t>
            </w:r>
          </w:p>
        </w:tc>
        <w:tc>
          <w:tcPr>
            <w:tcW w:type="dxa" w:w="1900"/>
            <w:tcMar>
              <w:top w:type="dxa" w:w="80"/>
              <w:left w:type="dxa" w:w="110"/>
              <w:bottom w:type="dxa" w:w="80"/>
              <w:right w:type="dxa" w:w="110"/>
            </w:tcMar>
            <w:vAlign w:val="center"/>
          </w:tcPr>
          <w:p>
            <w:r>
              <w:rPr>
                <w:rFonts w:ascii="Calibri" w:cs="Calibri" w:eastAsia="Calibri" w:hAnsi="Calibri"/>
                <w:color w:val="000000"/>
                <w:sz w:val="20"/>
                <w:szCs w:val="20"/>
              </w:rPr>
              <w:t xml:space="preserve">3. —</w:t>
            </w:r>
          </w:p>
        </w:tc>
        <w:tc>
          <w:tcPr>
            <w:tcW w:type="dxa" w:w="3000"/>
            <w:tcMar>
              <w:top w:type="dxa" w:w="80"/>
              <w:left w:type="dxa" w:w="110"/>
              <w:bottom w:type="dxa" w:w="80"/>
              <w:right w:type="dxa" w:w="110"/>
            </w:tcMar>
            <w:vAlign w:val="center"/>
          </w:tcPr>
          <w:p>
            <w:r>
              <w:rPr>
                <w:rFonts w:ascii="Calibri" w:cs="Calibri" w:eastAsia="Calibri" w:hAnsi="Calibri"/>
                <w:color w:val="000000"/>
                <w:sz w:val="20"/>
                <w:szCs w:val="20"/>
              </w:rPr>
              <w:t xml:space="preserve"> </w:t>
            </w:r>
          </w:p>
        </w:tc>
      </w:tr>
      <w:tr>
        <w:tc>
          <w:tcPr>
            <w:tcW w:type="dxa" w:w="1600"/>
            <w:shd w:fill="FFF2CC" w:val="clear"/>
            <w:tcMar>
              <w:top w:type="dxa" w:w="80"/>
              <w:left w:type="dxa" w:w="110"/>
              <w:bottom w:type="dxa" w:w="80"/>
              <w:right w:type="dxa" w:w="110"/>
            </w:tcMar>
            <w:vAlign w:val="center"/>
          </w:tcPr>
          <w:p>
            <w:r>
              <w:rPr>
                <w:rFonts w:ascii="Calibri" w:cs="Calibri" w:eastAsia="Calibri" w:hAnsi="Calibri"/>
                <w:b/>
                <w:bCs/>
                <w:color w:val="000000"/>
                <w:sz w:val="20"/>
                <w:szCs w:val="20"/>
              </w:rPr>
              <w:t xml:space="preserve">D: PM &amp; QA (Node D)</w:t>
            </w:r>
          </w:p>
        </w:tc>
        <w:tc>
          <w:tcPr>
            <w:tcW w:type="dxa" w:w="3200"/>
            <w:tcMar>
              <w:top w:type="dxa" w:w="80"/>
              <w:left w:type="dxa" w:w="110"/>
              <w:bottom w:type="dxa" w:w="80"/>
              <w:right w:type="dxa" w:w="110"/>
            </w:tcMar>
            <w:vAlign w:val="center"/>
          </w:tcPr>
          <w:p>
            <w:r>
              <w:rPr>
                <w:rFonts w:ascii="Calibri" w:cs="Calibri" w:eastAsia="Calibri" w:hAnsi="Calibri"/>
                <w:color w:val="000000"/>
                <w:sz w:val="20"/>
                <w:szCs w:val="20"/>
              </w:rPr>
              <w:t xml:space="preserve">Track Focus: Integration Post-Deployment KPIs &amp; Final Audit.</w:t>
            </w:r>
          </w:p>
        </w:tc>
        <w:tc>
          <w:tcPr>
            <w:tcW w:type="dxa" w:w="1900"/>
            <w:tcMar>
              <w:top w:type="dxa" w:w="80"/>
              <w:left w:type="dxa" w:w="110"/>
              <w:bottom w:type="dxa" w:w="80"/>
              <w:right w:type="dxa" w:w="110"/>
            </w:tcMar>
            <w:vAlign w:val="center"/>
          </w:tcPr>
          <w:p>
            <w:r>
              <w:rPr>
                <w:rFonts w:ascii="Calibri" w:cs="Calibri" w:eastAsia="Calibri" w:hAnsi="Calibri"/>
                <w:color w:val="000000"/>
                <w:sz w:val="20"/>
                <w:szCs w:val="20"/>
              </w:rPr>
              <w:t xml:space="preserve">1. Mike Casaverde
2. Lanz Michael Casino</w:t>
            </w:r>
          </w:p>
        </w:tc>
        <w:tc>
          <w:tcPr>
            <w:tcW w:type="dxa" w:w="3000"/>
            <w:tcMar>
              <w:top w:type="dxa" w:w="80"/>
              <w:left w:type="dxa" w:w="110"/>
              <w:bottom w:type="dxa" w:w="80"/>
              <w:right w:type="dxa" w:w="110"/>
            </w:tcMar>
            <w:vAlign w:val="center"/>
          </w:tcPr>
          <w:p>
            <w:r>
              <w:rPr>
                <w:rFonts w:ascii="Calibri" w:cs="Calibri" w:eastAsia="Calibri" w:hAnsi="Calibri"/>
                <w:color w:val="000000"/>
                <w:sz w:val="20"/>
                <w:szCs w:val="20"/>
              </w:rPr>
              <w:t xml:space="preserve">1. Definition of Integration Post-Deployment KPIs (min. 3) to measure automated integration success.</w:t>
            </w:r>
          </w:p>
        </w:tc>
      </w:tr>
      <w:tr>
        <w:tc>
          <w:tcPr>
            <w:tcW w:type="dxa" w:w="1600"/>
            <w:shd w:fill="FFF2CC" w:val="clear"/>
            <w:tcMar>
              <w:top w:type="dxa" w:w="80"/>
              <w:left w:type="dxa" w:w="110"/>
              <w:bottom w:type="dxa" w:w="80"/>
              <w:right w:type="dxa" w:w="110"/>
            </w:tcMar>
            <w:vAlign w:val="center"/>
          </w:tcPr>
          <w:p>
            <w:r>
              <w:rPr>
                <w:rFonts w:ascii="Calibri" w:cs="Calibri" w:eastAsia="Calibri" w:hAnsi="Calibri"/>
                <w:b/>
                <w:bCs/>
                <w:color w:val="000000"/>
                <w:sz w:val="20"/>
                <w:szCs w:val="20"/>
              </w:rPr>
              <w:t xml:space="preserve">D: PM &amp; QA (Node D)</w:t>
            </w:r>
          </w:p>
        </w:tc>
        <w:tc>
          <w:tcPr>
            <w:tcW w:type="dxa" w:w="3200"/>
            <w:tcMar>
              <w:top w:type="dxa" w:w="80"/>
              <w:left w:type="dxa" w:w="110"/>
              <w:bottom w:type="dxa" w:w="80"/>
              <w:right w:type="dxa" w:w="110"/>
            </w:tcMar>
            <w:vAlign w:val="center"/>
          </w:tcPr>
          <w:p>
            <w:r>
              <w:rPr>
                <w:rFonts w:ascii="Calibri" w:cs="Calibri" w:eastAsia="Calibri" w:hAnsi="Calibri"/>
                <w:color w:val="000000"/>
                <w:sz w:val="20"/>
                <w:szCs w:val="20"/>
              </w:rPr>
              <w:t xml:space="preserve">Laboratory Work: Defining KPIs to measure the integration development workflow and validating the executable design end-to-end.</w:t>
            </w:r>
          </w:p>
        </w:tc>
        <w:tc>
          <w:tcPr>
            <w:tcW w:type="dxa" w:w="1900"/>
            <w:tcMar>
              <w:top w:type="dxa" w:w="80"/>
              <w:left w:type="dxa" w:w="110"/>
              <w:bottom w:type="dxa" w:w="80"/>
              <w:right w:type="dxa" w:w="110"/>
            </w:tcMar>
            <w:vAlign w:val="center"/>
          </w:tcPr>
          <w:p>
            <w:r>
              <w:rPr>
                <w:rFonts w:ascii="Calibri" w:cs="Calibri" w:eastAsia="Calibri" w:hAnsi="Calibri"/>
                <w:color w:val="000000"/>
                <w:sz w:val="20"/>
                <w:szCs w:val="20"/>
              </w:rPr>
              <w:t xml:space="preserve">2. (see above)</w:t>
            </w:r>
          </w:p>
        </w:tc>
        <w:tc>
          <w:tcPr>
            <w:tcW w:type="dxa" w:w="3000"/>
            <w:tcMar>
              <w:top w:type="dxa" w:w="80"/>
              <w:left w:type="dxa" w:w="110"/>
              <w:bottom w:type="dxa" w:w="80"/>
              <w:right w:type="dxa" w:w="110"/>
            </w:tcMar>
            <w:vAlign w:val="center"/>
          </w:tcPr>
          <w:p>
            <w:r>
              <w:rPr>
                <w:rFonts w:ascii="Calibri" w:cs="Calibri" w:eastAsia="Calibri" w:hAnsi="Calibri"/>
                <w:color w:val="000000"/>
                <w:sz w:val="20"/>
                <w:szCs w:val="20"/>
              </w:rPr>
              <w:t xml:space="preserve">2. Validated and complete Activity Milestone Timeline for development.</w:t>
            </w:r>
          </w:p>
        </w:tc>
      </w:tr>
      <w:tr>
        <w:tc>
          <w:tcPr>
            <w:tcW w:type="dxa" w:w="1600"/>
            <w:shd w:fill="FFF2CC" w:val="clear"/>
            <w:tcMar>
              <w:top w:type="dxa" w:w="80"/>
              <w:left w:type="dxa" w:w="110"/>
              <w:bottom w:type="dxa" w:w="80"/>
              <w:right w:type="dxa" w:w="110"/>
            </w:tcMar>
            <w:vAlign w:val="center"/>
          </w:tcPr>
          <w:p>
            <w:r>
              <w:rPr>
                <w:rFonts w:ascii="Calibri" w:cs="Calibri" w:eastAsia="Calibri" w:hAnsi="Calibri"/>
                <w:b/>
                <w:bCs/>
                <w:color w:val="000000"/>
                <w:sz w:val="20"/>
                <w:szCs w:val="20"/>
              </w:rPr>
              <w:t xml:space="preserve">D: PM &amp; QA (Node D)</w:t>
            </w:r>
          </w:p>
        </w:tc>
        <w:tc>
          <w:tcPr>
            <w:tcW w:type="dxa" w:w="3200"/>
            <w:tcMar>
              <w:top w:type="dxa" w:w="80"/>
              <w:left w:type="dxa" w:w="110"/>
              <w:bottom w:type="dxa" w:w="80"/>
              <w:right w:type="dxa" w:w="110"/>
            </w:tcMar>
            <w:vAlign w:val="center"/>
          </w:tcPr>
          <w:p>
            <w:r>
              <w:rPr>
                <w:rFonts w:ascii="Calibri" w:cs="Calibri" w:eastAsia="Calibri" w:hAnsi="Calibri"/>
                <w:color w:val="000000"/>
                <w:sz w:val="20"/>
                <w:szCs w:val="20"/>
              </w:rPr>
              <w:t xml:space="preserve"> </w:t>
            </w:r>
          </w:p>
        </w:tc>
        <w:tc>
          <w:tcPr>
            <w:tcW w:type="dxa" w:w="1900"/>
            <w:tcMar>
              <w:top w:type="dxa" w:w="80"/>
              <w:left w:type="dxa" w:w="110"/>
              <w:bottom w:type="dxa" w:w="80"/>
              <w:right w:type="dxa" w:w="110"/>
            </w:tcMar>
            <w:vAlign w:val="center"/>
          </w:tcPr>
          <w:p>
            <w:r>
              <w:rPr>
                <w:rFonts w:ascii="Calibri" w:cs="Calibri" w:eastAsia="Calibri" w:hAnsi="Calibri"/>
                <w:color w:val="000000"/>
                <w:sz w:val="20"/>
                <w:szCs w:val="20"/>
              </w:rPr>
              <w:t xml:space="preserve">3. —</w:t>
            </w:r>
          </w:p>
        </w:tc>
        <w:tc>
          <w:tcPr>
            <w:tcW w:type="dxa" w:w="3000"/>
            <w:tcMar>
              <w:top w:type="dxa" w:w="80"/>
              <w:left w:type="dxa" w:w="110"/>
              <w:bottom w:type="dxa" w:w="80"/>
              <w:right w:type="dxa" w:w="110"/>
            </w:tcMar>
            <w:vAlign w:val="center"/>
          </w:tcPr>
          <w:p>
            <w:r>
              <w:rPr>
                <w:rFonts w:ascii="Calibri" w:cs="Calibri" w:eastAsia="Calibri" w:hAnsi="Calibri"/>
                <w:color w:val="000000"/>
                <w:sz w:val="20"/>
                <w:szCs w:val="20"/>
              </w:rPr>
              <w:t xml:space="preserve">3. Confirmation that Team D successfully validated the final technical design (see Task 3, below).</w:t>
            </w:r>
          </w:p>
        </w:tc>
      </w:tr>
    </w:tbl>
    <w:p>
      <w:pPr>
        <w:spacing w:after="140" w:before="260"/>
      </w:pPr>
      <w:r>
        <w:rPr>
          <w:rFonts w:ascii="Calibri" w:cs="Calibri" w:eastAsia="Calibri" w:hAnsi="Calibri"/>
          <w:b/>
          <w:bCs/>
          <w:color w:val="000000"/>
          <w:sz w:val="26"/>
          <w:szCs w:val="26"/>
        </w:rPr>
        <w:t xml:space="preserve">3. Executable Task Breakdown — Implementation Results</w:t>
      </w:r>
    </w:p>
    <w:p>
      <w:pPr>
        <w:spacing w:after="140" w:before="260"/>
      </w:pPr>
      <w:r>
        <w:rPr>
          <w:rFonts w:ascii="Calibri" w:cs="Calibri" w:eastAsia="Calibri" w:hAnsi="Calibri"/>
          <w:b/>
          <w:bCs/>
          <w:color w:val="000000"/>
          <w:sz w:val="24"/>
          <w:szCs w:val="24"/>
        </w:rPr>
        <w:t xml:space="preserve">Task 1: The Asynchronous Webhook Event (Sub-Teams A &amp; B)</w:t>
      </w:r>
    </w:p>
    <w:p>
      <w:pPr>
        <w:spacing w:after="120"/>
        <w:jc w:val="left"/>
      </w:pPr>
      <w:r>
        <w:rPr>
          <w:rFonts w:ascii="Calibri" w:cs="Calibri" w:eastAsia="Calibri" w:hAnsi="Calibri"/>
          <w:sz w:val="22"/>
          <w:szCs w:val="22"/>
        </w:rPr>
        <w:t xml:space="preserve">Sub-Teams A and B implemented and tested the data pipeline connecting the SCM and PM systems, using the same publish/subscribe pattern validated in Activity 3.</w:t>
      </w:r>
    </w:p>
    <w:p>
      <w:pPr>
        <w:spacing w:after="100" w:before="160"/>
        <w:ind w:left="260"/>
      </w:pPr>
      <w:r>
        <w:rPr>
          <w:rFonts w:ascii="Calibri" w:cs="Calibri" w:eastAsia="Calibri" w:hAnsi="Calibri"/>
          <w:b/>
          <w:bCs/>
          <w:i w:val="false"/>
          <w:iCs w:val="false"/>
          <w:color w:val="000000"/>
          <w:sz w:val="22"/>
          <w:szCs w:val="22"/>
        </w:rPr>
        <w:t xml:space="preserve">Node A Implementation — SCM “Shipment Delayed” Publisher (Sub-Team A)</w:t>
      </w:r>
    </w:p>
    <w:p>
      <w:pPr>
        <w:spacing w:after="120"/>
        <w:jc w:val="left"/>
      </w:pPr>
      <w:r>
        <w:rPr>
          <w:rFonts w:ascii="Calibri" w:cs="Calibri" w:eastAsia="Calibri" w:hAnsi="Calibri"/>
          <w:sz w:val="22"/>
          <w:szCs w:val="22"/>
        </w:rPr>
        <w:t xml:space="preserve">The SCM node publishes the following JSON webhook payload whenever a shipment's status is programmatically flagged as delayed. It carries the required standard identifiers (shipmentId, project_id, event_id, delayReason):</w:t>
      </w:r>
    </w:p>
    <w:p>
      <w:pPr>
        <w:spacing w:after="20"/>
        <w:ind w:left="560"/>
      </w:pPr>
      <w:r>
        <w:rPr>
          <w:rFonts w:ascii="Courier New" w:cs="Courier New" w:eastAsia="Courier New" w:hAnsi="Courier New"/>
          <w:sz w:val="19"/>
          <w:szCs w:val="19"/>
        </w:rPr>
        <w:t xml:space="preserve">POST /api/v1/scm/webhooks/publish   (SCM → Middleware)</w:t>
      </w:r>
    </w:p>
    <w:p>
      <w:pPr>
        <w:spacing w:after="20"/>
        <w:ind w:left="560"/>
      </w:pPr>
      <w:r>
        <w:rPr>
          <w:rFonts w:ascii="Courier New" w:cs="Courier New" w:eastAsia="Courier New" w:hAnsi="Courier New"/>
          <w:sz w:val="19"/>
          <w:szCs w:val="19"/>
        </w:rPr>
        <w:t xml:space="preserve">Headers: Authorization: Bearer &lt;scm-service-token&gt;</w:t>
      </w:r>
    </w:p>
    <w:p>
      <w:pPr>
        <w:spacing w:after="20"/>
        <w:ind w:left="560"/>
      </w:pPr>
      <w:r>
        <w:rPr>
          <w:rFonts w:ascii="Courier New" w:cs="Courier New" w:eastAsia="Courier New" w:hAnsi="Courier New"/>
          <w:sz w:val="19"/>
          <w:szCs w:val="19"/>
        </w:rPr>
        <w:t xml:space="preserve">         Content-Type: application/json</w:t>
      </w:r>
    </w:p>
    <w:p>
      <w:pPr>
        <w:spacing w:after="20"/>
        <w:ind w:left="560"/>
      </w:pPr>
      <w:r>
        <w:rPr>
          <w:rFonts w:ascii="Courier New" w:cs="Courier New" w:eastAsia="Courier New" w:hAnsi="Courier New"/>
          <w:sz w:val="19"/>
          <w:szCs w:val="19"/>
        </w:rPr>
        <w:t xml:space="preserve"> </w:t>
      </w:r>
    </w:p>
    <w:p>
      <w:pPr>
        <w:spacing w:after="20"/>
        <w:ind w:left="560"/>
      </w:pPr>
      <w:r>
        <w:rPr>
          <w:rFonts w:ascii="Courier New" w:cs="Courier New" w:eastAsia="Courier New" w:hAnsi="Courier New"/>
          <w:sz w:val="19"/>
          <w:szCs w:val="19"/>
        </w:rPr>
        <w:t xml:space="preserve">{</w:t>
      </w:r>
    </w:p>
    <w:p>
      <w:pPr>
        <w:spacing w:after="20"/>
        <w:ind w:left="560"/>
      </w:pPr>
      <w:r>
        <w:rPr>
          <w:rFonts w:ascii="Courier New" w:cs="Courier New" w:eastAsia="Courier New" w:hAnsi="Courier New"/>
          <w:sz w:val="19"/>
          <w:szCs w:val="19"/>
        </w:rPr>
        <w:t xml:space="preserve">  "event_id": "EVT-2026-09-0231",</w:t>
      </w:r>
    </w:p>
    <w:p>
      <w:pPr>
        <w:spacing w:after="20"/>
        <w:ind w:left="560"/>
      </w:pPr>
      <w:r>
        <w:rPr>
          <w:rFonts w:ascii="Courier New" w:cs="Courier New" w:eastAsia="Courier New" w:hAnsi="Courier New"/>
          <w:sz w:val="19"/>
          <w:szCs w:val="19"/>
        </w:rPr>
        <w:t xml:space="preserve">  "eventType": "SHIPMENT_DELAYED",</w:t>
      </w:r>
    </w:p>
    <w:p>
      <w:pPr>
        <w:spacing w:after="20"/>
        <w:ind w:left="560"/>
      </w:pPr>
      <w:r>
        <w:rPr>
          <w:rFonts w:ascii="Courier New" w:cs="Courier New" w:eastAsia="Courier New" w:hAnsi="Courier New"/>
          <w:sz w:val="19"/>
          <w:szCs w:val="19"/>
        </w:rPr>
        <w:t xml:space="preserve">  "timestamp": "2026-09-23T10:15:00Z",</w:t>
      </w:r>
    </w:p>
    <w:p>
      <w:pPr>
        <w:spacing w:after="20"/>
        <w:ind w:left="560"/>
      </w:pPr>
      <w:r>
        <w:rPr>
          <w:rFonts w:ascii="Courier New" w:cs="Courier New" w:eastAsia="Courier New" w:hAnsi="Courier New"/>
          <w:sz w:val="19"/>
          <w:szCs w:val="19"/>
        </w:rPr>
        <w:t xml:space="preserve">  "shipmentId": "SHIP-88213",</w:t>
      </w:r>
    </w:p>
    <w:p>
      <w:pPr>
        <w:spacing w:after="20"/>
        <w:ind w:left="560"/>
      </w:pPr>
      <w:r>
        <w:rPr>
          <w:rFonts w:ascii="Courier New" w:cs="Courier New" w:eastAsia="Courier New" w:hAnsi="Courier New"/>
          <w:sz w:val="19"/>
          <w:szCs w:val="19"/>
        </w:rPr>
        <w:t xml:space="preserve">  "project_id": "PRJ-4471",</w:t>
      </w:r>
    </w:p>
    <w:p>
      <w:pPr>
        <w:spacing w:after="20"/>
        <w:ind w:left="560"/>
      </w:pPr>
      <w:r>
        <w:rPr>
          <w:rFonts w:ascii="Courier New" w:cs="Courier New" w:eastAsia="Courier New" w:hAnsi="Courier New"/>
          <w:sz w:val="19"/>
          <w:szCs w:val="19"/>
        </w:rPr>
        <w:t xml:space="preserve">  "carrier": "DHL Express",</w:t>
      </w:r>
    </w:p>
    <w:p>
      <w:pPr>
        <w:spacing w:after="20"/>
        <w:ind w:left="560"/>
      </w:pPr>
      <w:r>
        <w:rPr>
          <w:rFonts w:ascii="Courier New" w:cs="Courier New" w:eastAsia="Courier New" w:hAnsi="Courier New"/>
          <w:sz w:val="19"/>
          <w:szCs w:val="19"/>
        </w:rPr>
        <w:t xml:space="preserve">  "originalETA": "2026-09-25",</w:t>
      </w:r>
    </w:p>
    <w:p>
      <w:pPr>
        <w:spacing w:after="20"/>
        <w:ind w:left="560"/>
      </w:pPr>
      <w:r>
        <w:rPr>
          <w:rFonts w:ascii="Courier New" w:cs="Courier New" w:eastAsia="Courier New" w:hAnsi="Courier New"/>
          <w:sz w:val="19"/>
          <w:szCs w:val="19"/>
        </w:rPr>
        <w:t xml:space="preserve">  "revisedETA": "2026-09-29",</w:t>
      </w:r>
    </w:p>
    <w:p>
      <w:pPr>
        <w:spacing w:after="20"/>
        <w:ind w:left="560"/>
      </w:pPr>
      <w:r>
        <w:rPr>
          <w:rFonts w:ascii="Courier New" w:cs="Courier New" w:eastAsia="Courier New" w:hAnsi="Courier New"/>
          <w:sz w:val="19"/>
          <w:szCs w:val="19"/>
        </w:rPr>
        <w:t xml:space="preserve">  "delayReason": "Customs clearance hold at port of entry",</w:t>
      </w:r>
    </w:p>
    <w:p>
      <w:pPr>
        <w:spacing w:after="20"/>
        <w:ind w:left="560"/>
      </w:pPr>
      <w:r>
        <w:rPr>
          <w:rFonts w:ascii="Courier New" w:cs="Courier New" w:eastAsia="Courier New" w:hAnsi="Courier New"/>
          <w:sz w:val="19"/>
          <w:szCs w:val="19"/>
        </w:rPr>
        <w:t xml:space="preserve">  "delayDurationDays": 4,</w:t>
      </w:r>
    </w:p>
    <w:p>
      <w:pPr>
        <w:spacing w:after="20"/>
        <w:ind w:left="560"/>
      </w:pPr>
      <w:r>
        <w:rPr>
          <w:rFonts w:ascii="Courier New" w:cs="Courier New" w:eastAsia="Courier New" w:hAnsi="Courier New"/>
          <w:sz w:val="19"/>
          <w:szCs w:val="19"/>
        </w:rPr>
        <w:t xml:space="preserve">  "status": "Delayed",</w:t>
      </w:r>
    </w:p>
    <w:p>
      <w:pPr>
        <w:spacing w:after="20"/>
        <w:ind w:left="560"/>
      </w:pPr>
      <w:r>
        <w:rPr>
          <w:rFonts w:ascii="Courier New" w:cs="Courier New" w:eastAsia="Courier New" w:hAnsi="Courier New"/>
          <w:sz w:val="19"/>
          <w:szCs w:val="19"/>
        </w:rPr>
        <w:t xml:space="preserve">  "sourceSystem": "SCM-Shipment-Service"</w:t>
      </w:r>
    </w:p>
    <w:p>
      <w:pPr>
        <w:spacing w:after="180"/>
        <w:ind w:left="560"/>
      </w:pPr>
      <w:r>
        <w:rPr>
          <w:rFonts w:ascii="Courier New" w:cs="Courier New" w:eastAsia="Courier New" w:hAnsi="Courier New"/>
          <w:sz w:val="19"/>
          <w:szCs w:val="19"/>
        </w:rPr>
        <w:t xml:space="preserve">}</w:t>
      </w:r>
    </w:p>
    <w:p>
      <w:pPr>
        <w:spacing w:after="120"/>
        <w:jc w:val="left"/>
      </w:pPr>
      <w:r>
        <w:rPr>
          <w:rFonts w:ascii="Calibri" w:cs="Calibri" w:eastAsia="Calibri" w:hAnsi="Calibri"/>
          <w:sz w:val="22"/>
          <w:szCs w:val="22"/>
        </w:rPr>
        <w:t xml:space="preserve">Node A publisher (Express, simplified):</w:t>
      </w:r>
    </w:p>
    <w:p>
      <w:pPr>
        <w:spacing w:after="20"/>
        <w:ind w:left="560"/>
      </w:pPr>
      <w:r>
        <w:rPr>
          <w:rFonts w:ascii="Courier New" w:cs="Courier New" w:eastAsia="Courier New" w:hAnsi="Courier New"/>
          <w:sz w:val="19"/>
          <w:szCs w:val="19"/>
        </w:rPr>
        <w:t xml:space="preserve">app.post('/simulate/shipment-delay', async (req, res) =&gt; {</w:t>
      </w:r>
    </w:p>
    <w:p>
      <w:pPr>
        <w:spacing w:after="20"/>
        <w:ind w:left="560"/>
      </w:pPr>
      <w:r>
        <w:rPr>
          <w:rFonts w:ascii="Courier New" w:cs="Courier New" w:eastAsia="Courier New" w:hAnsi="Courier New"/>
          <w:sz w:val="19"/>
          <w:szCs w:val="19"/>
        </w:rPr>
        <w:t xml:space="preserve">  const event = buildShipmentDelayedEvent(req.body); // adds event_id, timestamp</w:t>
      </w:r>
    </w:p>
    <w:p>
      <w:pPr>
        <w:spacing w:after="20"/>
        <w:ind w:left="560"/>
      </w:pPr>
      <w:r>
        <w:rPr>
          <w:rFonts w:ascii="Courier New" w:cs="Courier New" w:eastAsia="Courier New" w:hAnsi="Courier New"/>
          <w:sz w:val="19"/>
          <w:szCs w:val="19"/>
        </w:rPr>
        <w:t xml:space="preserve">  await axios.post(MIDDLEWARE_URL + '/events/shipment-delayed', event, {</w:t>
      </w:r>
    </w:p>
    <w:p>
      <w:pPr>
        <w:spacing w:after="20"/>
        <w:ind w:left="560"/>
      </w:pPr>
      <w:r>
        <w:rPr>
          <w:rFonts w:ascii="Courier New" w:cs="Courier New" w:eastAsia="Courier New" w:hAnsi="Courier New"/>
          <w:sz w:val="19"/>
          <w:szCs w:val="19"/>
        </w:rPr>
        <w:t xml:space="preserve">    headers: { Authorization: `Bearer ${SCM_SERVICE_TOKEN}` }</w:t>
      </w:r>
    </w:p>
    <w:p>
      <w:pPr>
        <w:spacing w:after="20"/>
        <w:ind w:left="560"/>
      </w:pPr>
      <w:r>
        <w:rPr>
          <w:rFonts w:ascii="Courier New" w:cs="Courier New" w:eastAsia="Courier New" w:hAnsi="Courier New"/>
          <w:sz w:val="19"/>
          <w:szCs w:val="19"/>
        </w:rPr>
        <w:t xml:space="preserve">  });</w:t>
      </w:r>
    </w:p>
    <w:p>
      <w:pPr>
        <w:spacing w:after="20"/>
        <w:ind w:left="560"/>
      </w:pPr>
      <w:r>
        <w:rPr>
          <w:rFonts w:ascii="Courier New" w:cs="Courier New" w:eastAsia="Courier New" w:hAnsi="Courier New"/>
          <w:sz w:val="19"/>
          <w:szCs w:val="19"/>
        </w:rPr>
        <w:t xml:space="preserve">  res.status(201).json({ published: true, event_id: event.event_id });</w:t>
      </w:r>
    </w:p>
    <w:p>
      <w:pPr>
        <w:spacing w:after="180"/>
        <w:ind w:left="560"/>
      </w:pPr>
      <w:r>
        <w:rPr>
          <w:rFonts w:ascii="Courier New" w:cs="Courier New" w:eastAsia="Courier New" w:hAnsi="Courier New"/>
          <w:sz w:val="19"/>
          <w:szCs w:val="19"/>
        </w:rPr>
        <w:t xml:space="preserve">});</w:t>
      </w:r>
    </w:p>
    <w:p>
      <w:pPr>
        <w:spacing w:after="100" w:before="160"/>
        <w:ind w:left="260"/>
      </w:pPr>
      <w:r>
        <w:rPr>
          <w:rFonts w:ascii="Calibri" w:cs="Calibri" w:eastAsia="Calibri" w:hAnsi="Calibri"/>
          <w:b/>
          <w:bCs/>
          <w:i w:val="false"/>
          <w:iCs w:val="false"/>
          <w:color w:val="000000"/>
          <w:sz w:val="22"/>
          <w:szCs w:val="22"/>
        </w:rPr>
        <w:t xml:space="preserve">Node B Implementation — PM Incoming Endpoint (Sub-Team B)</w:t>
      </w:r>
    </w:p>
    <w:p>
      <w:pPr>
        <w:spacing w:after="120"/>
        <w:jc w:val="left"/>
      </w:pPr>
      <w:r>
        <w:rPr>
          <w:rFonts w:ascii="Calibri" w:cs="Calibri" w:eastAsia="Calibri" w:hAnsi="Calibri"/>
          <w:sz w:val="22"/>
          <w:szCs w:val="22"/>
        </w:rPr>
        <w:t xml:space="preserve">The PM node exposes a REST API endpoint that securely subscribes to the transformed event and validates the required fields (projectId, taskId, impactNotes) before updating the task record:</w:t>
      </w:r>
    </w:p>
    <w:p>
      <w:pPr>
        <w:spacing w:after="20"/>
        <w:ind w:left="560"/>
      </w:pPr>
      <w:r>
        <w:rPr>
          <w:rFonts w:ascii="Courier New" w:cs="Courier New" w:eastAsia="Courier New" w:hAnsi="Courier New"/>
          <w:sz w:val="19"/>
          <w:szCs w:val="19"/>
        </w:rPr>
        <w:t xml:space="preserve">POST /api/v1/pm/webhooks/shipment-events   (Middleware → PM)</w:t>
      </w:r>
    </w:p>
    <w:p>
      <w:pPr>
        <w:spacing w:after="20"/>
        <w:ind w:left="560"/>
      </w:pPr>
      <w:r>
        <w:rPr>
          <w:rFonts w:ascii="Courier New" w:cs="Courier New" w:eastAsia="Courier New" w:hAnsi="Courier New"/>
          <w:sz w:val="19"/>
          <w:szCs w:val="19"/>
        </w:rPr>
        <w:t xml:space="preserve">Headers: Authorization: Bearer &lt;pm-service-token&gt;</w:t>
      </w:r>
    </w:p>
    <w:p>
      <w:pPr>
        <w:spacing w:after="20"/>
        <w:ind w:left="560"/>
      </w:pPr>
      <w:r>
        <w:rPr>
          <w:rFonts w:ascii="Courier New" w:cs="Courier New" w:eastAsia="Courier New" w:hAnsi="Courier New"/>
          <w:sz w:val="19"/>
          <w:szCs w:val="19"/>
        </w:rPr>
        <w:t xml:space="preserve">         Content-Type: application/json</w:t>
      </w:r>
    </w:p>
    <w:p>
      <w:pPr>
        <w:spacing w:after="20"/>
        <w:ind w:left="560"/>
      </w:pPr>
      <w:r>
        <w:rPr>
          <w:rFonts w:ascii="Courier New" w:cs="Courier New" w:eastAsia="Courier New" w:hAnsi="Courier New"/>
          <w:sz w:val="19"/>
          <w:szCs w:val="19"/>
        </w:rPr>
        <w:t xml:space="preserve">         X-Idempotency-Key: EVT-2026-09-0231</w:t>
      </w:r>
    </w:p>
    <w:p>
      <w:pPr>
        <w:spacing w:after="20"/>
        <w:ind w:left="560"/>
      </w:pPr>
      <w:r>
        <w:rPr>
          <w:rFonts w:ascii="Courier New" w:cs="Courier New" w:eastAsia="Courier New" w:hAnsi="Courier New"/>
          <w:sz w:val="19"/>
          <w:szCs w:val="19"/>
        </w:rPr>
        <w:t xml:space="preserve"> </w:t>
      </w:r>
    </w:p>
    <w:p>
      <w:pPr>
        <w:spacing w:after="20"/>
        <w:ind w:left="560"/>
      </w:pPr>
      <w:r>
        <w:rPr>
          <w:rFonts w:ascii="Courier New" w:cs="Courier New" w:eastAsia="Courier New" w:hAnsi="Courier New"/>
          <w:sz w:val="19"/>
          <w:szCs w:val="19"/>
        </w:rPr>
        <w:t xml:space="preserve">{</w:t>
      </w:r>
    </w:p>
    <w:p>
      <w:pPr>
        <w:spacing w:after="20"/>
        <w:ind w:left="560"/>
      </w:pPr>
      <w:r>
        <w:rPr>
          <w:rFonts w:ascii="Courier New" w:cs="Courier New" w:eastAsia="Courier New" w:hAnsi="Courier New"/>
          <w:sz w:val="19"/>
          <w:szCs w:val="19"/>
        </w:rPr>
        <w:t xml:space="preserve">  "projectId": "PRJ-4471",</w:t>
      </w:r>
    </w:p>
    <w:p>
      <w:pPr>
        <w:spacing w:after="20"/>
        <w:ind w:left="560"/>
      </w:pPr>
      <w:r>
        <w:rPr>
          <w:rFonts w:ascii="Courier New" w:cs="Courier New" w:eastAsia="Courier New" w:hAnsi="Courier New"/>
          <w:sz w:val="19"/>
          <w:szCs w:val="19"/>
        </w:rPr>
        <w:t xml:space="preserve">  "taskId": "TASK-20345",</w:t>
      </w:r>
    </w:p>
    <w:p>
      <w:pPr>
        <w:spacing w:after="20"/>
        <w:ind w:left="560"/>
      </w:pPr>
      <w:r>
        <w:rPr>
          <w:rFonts w:ascii="Courier New" w:cs="Courier New" w:eastAsia="Courier New" w:hAnsi="Courier New"/>
          <w:sz w:val="19"/>
          <w:szCs w:val="19"/>
        </w:rPr>
        <w:t xml:space="preserve">  "relatedShipmentId": "SHIP-88213",</w:t>
      </w:r>
    </w:p>
    <w:p>
      <w:pPr>
        <w:spacing w:after="20"/>
        <w:ind w:left="560"/>
      </w:pPr>
      <w:r>
        <w:rPr>
          <w:rFonts w:ascii="Courier New" w:cs="Courier New" w:eastAsia="Courier New" w:hAnsi="Courier New"/>
          <w:sz w:val="19"/>
          <w:szCs w:val="19"/>
        </w:rPr>
        <w:t xml:space="preserve">  "newTaskStatus": "On_Hold",</w:t>
      </w:r>
    </w:p>
    <w:p>
      <w:pPr>
        <w:spacing w:after="20"/>
        <w:ind w:left="560"/>
      </w:pPr>
      <w:r>
        <w:rPr>
          <w:rFonts w:ascii="Courier New" w:cs="Courier New" w:eastAsia="Courier New" w:hAnsi="Courier New"/>
          <w:sz w:val="19"/>
          <w:szCs w:val="19"/>
        </w:rPr>
        <w:t xml:space="preserve">  "revisedDueDate": "2026-09-29",</w:t>
      </w:r>
    </w:p>
    <w:p>
      <w:pPr>
        <w:spacing w:after="20"/>
        <w:ind w:left="560"/>
      </w:pPr>
      <w:r>
        <w:rPr>
          <w:rFonts w:ascii="Courier New" w:cs="Courier New" w:eastAsia="Courier New" w:hAnsi="Courier New"/>
          <w:sz w:val="19"/>
          <w:szCs w:val="19"/>
        </w:rPr>
        <w:t xml:space="preserve">  "impactNotes": "Shipment delayed 4 day(s) - Customs clearance hold at port of entry.",</w:t>
      </w:r>
    </w:p>
    <w:p>
      <w:pPr>
        <w:spacing w:after="20"/>
        <w:ind w:left="560"/>
      </w:pPr>
      <w:r>
        <w:rPr>
          <w:rFonts w:ascii="Courier New" w:cs="Courier New" w:eastAsia="Courier New" w:hAnsi="Courier New"/>
          <w:sz w:val="19"/>
          <w:szCs w:val="19"/>
        </w:rPr>
        <w:t xml:space="preserve">  "receivedAt": "2026-09-23T10:15:05Z"</w:t>
      </w:r>
    </w:p>
    <w:p>
      <w:pPr>
        <w:spacing w:after="20"/>
        <w:ind w:left="560"/>
      </w:pPr>
      <w:r>
        <w:rPr>
          <w:rFonts w:ascii="Courier New" w:cs="Courier New" w:eastAsia="Courier New" w:hAnsi="Courier New"/>
          <w:sz w:val="19"/>
          <w:szCs w:val="19"/>
        </w:rPr>
        <w:t xml:space="preserve">}</w:t>
      </w:r>
    </w:p>
    <w:p>
      <w:pPr>
        <w:spacing w:after="20"/>
        <w:ind w:left="560"/>
      </w:pPr>
      <w:r>
        <w:rPr>
          <w:rFonts w:ascii="Courier New" w:cs="Courier New" w:eastAsia="Courier New" w:hAnsi="Courier New"/>
          <w:sz w:val="19"/>
          <w:szCs w:val="19"/>
        </w:rPr>
        <w:t xml:space="preserve"> </w:t>
      </w:r>
    </w:p>
    <w:p>
      <w:pPr>
        <w:spacing w:after="20"/>
        <w:ind w:left="560"/>
      </w:pPr>
      <w:r>
        <w:rPr>
          <w:rFonts w:ascii="Courier New" w:cs="Courier New" w:eastAsia="Courier New" w:hAnsi="Courier New"/>
          <w:sz w:val="19"/>
          <w:szCs w:val="19"/>
        </w:rPr>
        <w:t xml:space="preserve">Response 200 OK:</w:t>
      </w:r>
    </w:p>
    <w:p>
      <w:pPr>
        <w:spacing w:after="180"/>
        <w:ind w:left="560"/>
      </w:pPr>
      <w:r>
        <w:rPr>
          <w:rFonts w:ascii="Courier New" w:cs="Courier New" w:eastAsia="Courier New" w:hAnsi="Courier New"/>
          <w:sz w:val="19"/>
          <w:szCs w:val="19"/>
        </w:rPr>
        <w:t xml:space="preserve">{ "taskId": "TASK-20345", "taskStatus": "On_Hold", "acknowledged": true }</w:t>
      </w:r>
    </w:p>
    <w:p>
      <w:pPr>
        <w:spacing w:after="120"/>
        <w:jc w:val="left"/>
      </w:pPr>
      <w:r>
        <w:rPr>
          <w:rFonts w:ascii="Calibri" w:cs="Calibri" w:eastAsia="Calibri" w:hAnsi="Calibri"/>
          <w:sz w:val="22"/>
          <w:szCs w:val="22"/>
        </w:rPr>
        <w:t xml:space="preserve">Node B validation logic (Express, simplified):</w:t>
      </w:r>
    </w:p>
    <w:p>
      <w:pPr>
        <w:spacing w:after="20"/>
        <w:ind w:left="560"/>
      </w:pPr>
      <w:r>
        <w:rPr>
          <w:rFonts w:ascii="Courier New" w:cs="Courier New" w:eastAsia="Courier New" w:hAnsi="Courier New"/>
          <w:sz w:val="19"/>
          <w:szCs w:val="19"/>
        </w:rPr>
        <w:t xml:space="preserve">app.post('/api/v1/pm/webhooks/shipment-events', authenticate, async (req, res) =&gt; {</w:t>
      </w:r>
    </w:p>
    <w:p>
      <w:pPr>
        <w:spacing w:after="20"/>
        <w:ind w:left="560"/>
      </w:pPr>
      <w:r>
        <w:rPr>
          <w:rFonts w:ascii="Courier New" w:cs="Courier New" w:eastAsia="Courier New" w:hAnsi="Courier New"/>
          <w:sz w:val="19"/>
          <w:szCs w:val="19"/>
        </w:rPr>
        <w:t xml:space="preserve">  const { projectId, taskId, impactNotes } = req.body;</w:t>
      </w:r>
    </w:p>
    <w:p>
      <w:pPr>
        <w:spacing w:after="20"/>
        <w:ind w:left="560"/>
      </w:pPr>
      <w:r>
        <w:rPr>
          <w:rFonts w:ascii="Courier New" w:cs="Courier New" w:eastAsia="Courier New" w:hAnsi="Courier New"/>
          <w:sz w:val="19"/>
          <w:szCs w:val="19"/>
        </w:rPr>
        <w:t xml:space="preserve">  if (!projectId || !taskId || !impactNotes) {</w:t>
      </w:r>
    </w:p>
    <w:p>
      <w:pPr>
        <w:spacing w:after="20"/>
        <w:ind w:left="560"/>
      </w:pPr>
      <w:r>
        <w:rPr>
          <w:rFonts w:ascii="Courier New" w:cs="Courier New" w:eastAsia="Courier New" w:hAnsi="Courier New"/>
          <w:sz w:val="19"/>
          <w:szCs w:val="19"/>
        </w:rPr>
        <w:t xml:space="preserve">    return res.status(400).json({ error: 'Missing required field(s).' });</w:t>
      </w:r>
    </w:p>
    <w:p>
      <w:pPr>
        <w:spacing w:after="20"/>
        <w:ind w:left="560"/>
      </w:pPr>
      <w:r>
        <w:rPr>
          <w:rFonts w:ascii="Courier New" w:cs="Courier New" w:eastAsia="Courier New" w:hAnsi="Courier New"/>
          <w:sz w:val="19"/>
          <w:szCs w:val="19"/>
        </w:rPr>
        <w:t xml:space="preserve">  }</w:t>
      </w:r>
    </w:p>
    <w:p>
      <w:pPr>
        <w:spacing w:after="20"/>
        <w:ind w:left="560"/>
      </w:pPr>
      <w:r>
        <w:rPr>
          <w:rFonts w:ascii="Courier New" w:cs="Courier New" w:eastAsia="Courier New" w:hAnsi="Courier New"/>
          <w:sz w:val="19"/>
          <w:szCs w:val="19"/>
        </w:rPr>
        <w:t xml:space="preserve">  if (seenEventIds.has(req.headers['x-idempotency-key'])) {</w:t>
      </w:r>
    </w:p>
    <w:p>
      <w:pPr>
        <w:spacing w:after="20"/>
        <w:ind w:left="560"/>
      </w:pPr>
      <w:r>
        <w:rPr>
          <w:rFonts w:ascii="Courier New" w:cs="Courier New" w:eastAsia="Courier New" w:hAnsi="Courier New"/>
          <w:sz w:val="19"/>
          <w:szCs w:val="19"/>
        </w:rPr>
        <w:t xml:space="preserve">    return res.status(200).json({ acknowledged: true, duplicate: true }); // idempotent no-op</w:t>
      </w:r>
    </w:p>
    <w:p>
      <w:pPr>
        <w:spacing w:after="20"/>
        <w:ind w:left="560"/>
      </w:pPr>
      <w:r>
        <w:rPr>
          <w:rFonts w:ascii="Courier New" w:cs="Courier New" w:eastAsia="Courier New" w:hAnsi="Courier New"/>
          <w:sz w:val="19"/>
          <w:szCs w:val="19"/>
        </w:rPr>
        <w:t xml:space="preserve">  }</w:t>
      </w:r>
    </w:p>
    <w:p>
      <w:pPr>
        <w:spacing w:after="20"/>
        <w:ind w:left="560"/>
      </w:pPr>
      <w:r>
        <w:rPr>
          <w:rFonts w:ascii="Courier New" w:cs="Courier New" w:eastAsia="Courier New" w:hAnsi="Courier New"/>
          <w:sz w:val="19"/>
          <w:szCs w:val="19"/>
        </w:rPr>
        <w:t xml:space="preserve">  await Task.updateStatus(taskId, req.body.newTaskStatus, req.body.revisedDueDate, impactNotes);</w:t>
      </w:r>
    </w:p>
    <w:p>
      <w:pPr>
        <w:spacing w:after="20"/>
        <w:ind w:left="560"/>
      </w:pPr>
      <w:r>
        <w:rPr>
          <w:rFonts w:ascii="Courier New" w:cs="Courier New" w:eastAsia="Courier New" w:hAnsi="Courier New"/>
          <w:sz w:val="19"/>
          <w:szCs w:val="19"/>
        </w:rPr>
        <w:t xml:space="preserve">  seenEventIds.add(req.headers['x-idempotency-key']);</w:t>
      </w:r>
    </w:p>
    <w:p>
      <w:pPr>
        <w:spacing w:after="20"/>
        <w:ind w:left="560"/>
      </w:pPr>
      <w:r>
        <w:rPr>
          <w:rFonts w:ascii="Courier New" w:cs="Courier New" w:eastAsia="Courier New" w:hAnsi="Courier New"/>
          <w:sz w:val="19"/>
          <w:szCs w:val="19"/>
        </w:rPr>
        <w:t xml:space="preserve">  res.status(200).json({ taskId, taskStatus: req.body.newTaskStatus, acknowledged: true });</w:t>
      </w:r>
    </w:p>
    <w:p>
      <w:pPr>
        <w:spacing w:after="180"/>
        <w:ind w:left="560"/>
      </w:pPr>
      <w:r>
        <w:rPr>
          <w:rFonts w:ascii="Courier New" w:cs="Courier New" w:eastAsia="Courier New" w:hAnsi="Courier New"/>
          <w:sz w:val="19"/>
          <w:szCs w:val="19"/>
        </w:rPr>
        <w:t xml:space="preserve">});</w:t>
      </w:r>
    </w:p>
    <w:p>
      <w:pPr>
        <w:spacing w:after="140" w:before="260"/>
      </w:pPr>
      <w:r>
        <w:rPr>
          <w:rFonts w:ascii="Calibri" w:cs="Calibri" w:eastAsia="Calibri" w:hAnsi="Calibri"/>
          <w:b/>
          <w:bCs/>
          <w:color w:val="000000"/>
          <w:sz w:val="24"/>
          <w:szCs w:val="24"/>
        </w:rPr>
        <w:t xml:space="preserve">Task 2: Transformation Logic &amp; Error Handlers (Sub-Team C)</w:t>
      </w:r>
    </w:p>
    <w:p>
      <w:pPr>
        <w:spacing w:after="120"/>
        <w:jc w:val="left"/>
      </w:pPr>
      <w:r>
        <w:rPr>
          <w:rFonts w:ascii="Calibri" w:cs="Calibri" w:eastAsia="Calibri" w:hAnsi="Calibri"/>
          <w:sz w:val="22"/>
          <w:szCs w:val="22"/>
        </w:rPr>
        <w:t xml:space="preserve">Sub-Team C built the executable middleware that bridges the SCM “Shipment Delayed” schema to the PM task-update schema, casts data types, and derives new values.</w:t>
      </w:r>
    </w:p>
    <w:p>
      <w:pPr>
        <w:spacing w:after="100" w:before="160"/>
        <w:ind w:left="260"/>
      </w:pPr>
      <w:r>
        <w:rPr>
          <w:rFonts w:ascii="Calibri" w:cs="Calibri" w:eastAsia="Calibri" w:hAnsi="Calibri"/>
          <w:b/>
          <w:bCs/>
          <w:i w:val="false"/>
          <w:iCs w:val="false"/>
          <w:color w:val="000000"/>
          <w:sz w:val="22"/>
          <w:szCs w:val="22"/>
        </w:rPr>
        <w:t xml:space="preserve">Data Field Mapping &amp; Transformation Matrix (Sub-Team 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3800"/>
      </w:tblGrid>
      <w:tr>
        <w:trPr>
          <w:tblHeader/>
        </w:trPr>
        <w:tc>
          <w:tcPr>
            <w:tcW w:type="dxa" w:w="1900"/>
            <w:shd w:fill="9DC3E6" w:val="clear"/>
            <w:tcMar>
              <w:top w:type="dxa" w:w="80"/>
              <w:left w:type="dxa" w:w="110"/>
              <w:bottom w:type="dxa" w:w="80"/>
              <w:right w:type="dxa" w:w="110"/>
            </w:tcMar>
            <w:vAlign w:val="center"/>
          </w:tcPr>
          <w:p>
            <w:r>
              <w:rPr>
                <w:rFonts w:ascii="Calibri" w:cs="Calibri" w:eastAsia="Calibri" w:hAnsi="Calibri"/>
                <w:b/>
                <w:bCs/>
                <w:color w:val="000000"/>
                <w:sz w:val="20"/>
                <w:szCs w:val="20"/>
              </w:rPr>
              <w:t xml:space="preserve">Source Field (SCM)</w:t>
            </w:r>
          </w:p>
        </w:tc>
        <w:tc>
          <w:tcPr>
            <w:tcW w:type="dxa" w:w="1900"/>
            <w:shd w:fill="9DC3E6" w:val="clear"/>
            <w:tcMar>
              <w:top w:type="dxa" w:w="80"/>
              <w:left w:type="dxa" w:w="110"/>
              <w:bottom w:type="dxa" w:w="80"/>
              <w:right w:type="dxa" w:w="110"/>
            </w:tcMar>
            <w:vAlign w:val="center"/>
          </w:tcPr>
          <w:p>
            <w:r>
              <w:rPr>
                <w:rFonts w:ascii="Calibri" w:cs="Calibri" w:eastAsia="Calibri" w:hAnsi="Calibri"/>
                <w:b/>
                <w:bCs/>
                <w:color w:val="000000"/>
                <w:sz w:val="20"/>
                <w:szCs w:val="20"/>
              </w:rPr>
              <w:t xml:space="preserve">Target Field (PM)</w:t>
            </w:r>
          </w:p>
        </w:tc>
        <w:tc>
          <w:tcPr>
            <w:tcW w:type="dxa" w:w="1900"/>
            <w:shd w:fill="9DC3E6" w:val="clear"/>
            <w:tcMar>
              <w:top w:type="dxa" w:w="80"/>
              <w:left w:type="dxa" w:w="110"/>
              <w:bottom w:type="dxa" w:w="80"/>
              <w:right w:type="dxa" w:w="110"/>
            </w:tcMar>
            <w:vAlign w:val="center"/>
          </w:tcPr>
          <w:p>
            <w:r>
              <w:rPr>
                <w:rFonts w:ascii="Calibri" w:cs="Calibri" w:eastAsia="Calibri" w:hAnsi="Calibri"/>
                <w:b/>
                <w:bCs/>
                <w:color w:val="000000"/>
                <w:sz w:val="20"/>
                <w:szCs w:val="20"/>
              </w:rPr>
              <w:t xml:space="preserve">Data Type / Transformation</w:t>
            </w:r>
          </w:p>
        </w:tc>
        <w:tc>
          <w:tcPr>
            <w:tcW w:type="dxa" w:w="3800"/>
            <w:shd w:fill="9DC3E6" w:val="clear"/>
            <w:tcMar>
              <w:top w:type="dxa" w:w="80"/>
              <w:left w:type="dxa" w:w="110"/>
              <w:bottom w:type="dxa" w:w="80"/>
              <w:right w:type="dxa" w:w="110"/>
            </w:tcMar>
            <w:vAlign w:val="center"/>
          </w:tcPr>
          <w:p>
            <w:r>
              <w:rPr>
                <w:rFonts w:ascii="Calibri" w:cs="Calibri" w:eastAsia="Calibri" w:hAnsi="Calibri"/>
                <w:b/>
                <w:bCs/>
                <w:color w:val="000000"/>
                <w:sz w:val="20"/>
                <w:szCs w:val="20"/>
              </w:rPr>
              <w:t xml:space="preserve">Accounting / Business Logic Rule</w:t>
            </w:r>
          </w:p>
        </w:tc>
      </w:tr>
      <w:tr>
        <w:tc>
          <w:tcPr>
            <w:tcW w:type="dxa" w:w="1900"/>
            <w:tcMar>
              <w:top w:type="dxa" w:w="80"/>
              <w:left w:type="dxa" w:w="110"/>
              <w:bottom w:type="dxa" w:w="80"/>
              <w:right w:type="dxa" w:w="110"/>
            </w:tcMar>
            <w:vAlign w:val="center"/>
          </w:tcPr>
          <w:p>
            <w:r>
              <w:rPr>
                <w:rFonts w:ascii="Calibri" w:cs="Calibri" w:eastAsia="Calibri" w:hAnsi="Calibri"/>
                <w:color w:val="000000"/>
                <w:sz w:val="20"/>
                <w:szCs w:val="20"/>
              </w:rPr>
              <w:t xml:space="preserve">event_id</w:t>
            </w:r>
          </w:p>
        </w:tc>
        <w:tc>
          <w:tcPr>
            <w:tcW w:type="dxa" w:w="1900"/>
            <w:tcMar>
              <w:top w:type="dxa" w:w="80"/>
              <w:left w:type="dxa" w:w="110"/>
              <w:bottom w:type="dxa" w:w="80"/>
              <w:right w:type="dxa" w:w="110"/>
            </w:tcMar>
            <w:vAlign w:val="center"/>
          </w:tcPr>
          <w:p>
            <w:r>
              <w:rPr>
                <w:rFonts w:ascii="Calibri" w:cs="Calibri" w:eastAsia="Calibri" w:hAnsi="Calibri"/>
                <w:color w:val="000000"/>
                <w:sz w:val="20"/>
                <w:szCs w:val="20"/>
              </w:rPr>
              <w:t xml:space="preserve">X-Idempotency-Key header</w:t>
            </w:r>
          </w:p>
        </w:tc>
        <w:tc>
          <w:tcPr>
            <w:tcW w:type="dxa" w:w="1900"/>
            <w:tcMar>
              <w:top w:type="dxa" w:w="80"/>
              <w:left w:type="dxa" w:w="110"/>
              <w:bottom w:type="dxa" w:w="80"/>
              <w:right w:type="dxa" w:w="110"/>
            </w:tcMar>
            <w:vAlign w:val="center"/>
          </w:tcPr>
          <w:p>
            <w:r>
              <w:rPr>
                <w:rFonts w:ascii="Calibri" w:cs="Calibri" w:eastAsia="Calibri" w:hAnsi="Calibri"/>
                <w:color w:val="000000"/>
                <w:sz w:val="20"/>
                <w:szCs w:val="20"/>
              </w:rPr>
              <w:t xml:space="preserve">String</w:t>
            </w:r>
          </w:p>
        </w:tc>
        <w:tc>
          <w:tcPr>
            <w:tcW w:type="dxa" w:w="3800"/>
            <w:tcMar>
              <w:top w:type="dxa" w:w="80"/>
              <w:left w:type="dxa" w:w="110"/>
              <w:bottom w:type="dxa" w:w="80"/>
              <w:right w:type="dxa" w:w="110"/>
            </w:tcMar>
            <w:vAlign w:val="center"/>
          </w:tcPr>
          <w:p>
            <w:r>
              <w:rPr>
                <w:rFonts w:ascii="Calibri" w:cs="Calibri" w:eastAsia="Calibri" w:hAnsi="Calibri"/>
                <w:color w:val="000000"/>
                <w:sz w:val="20"/>
                <w:szCs w:val="20"/>
              </w:rPr>
              <w:t xml:space="preserve">Used to detect and silently drop duplicate deliveries (idempotency).</w:t>
            </w:r>
          </w:p>
        </w:tc>
      </w:tr>
      <w:tr>
        <w:tc>
          <w:tcPr>
            <w:tcW w:type="dxa" w:w="1900"/>
            <w:tcMar>
              <w:top w:type="dxa" w:w="80"/>
              <w:left w:type="dxa" w:w="110"/>
              <w:bottom w:type="dxa" w:w="80"/>
              <w:right w:type="dxa" w:w="110"/>
            </w:tcMar>
            <w:vAlign w:val="center"/>
          </w:tcPr>
          <w:p>
            <w:r>
              <w:rPr>
                <w:rFonts w:ascii="Calibri" w:cs="Calibri" w:eastAsia="Calibri" w:hAnsi="Calibri"/>
                <w:color w:val="000000"/>
                <w:sz w:val="20"/>
                <w:szCs w:val="20"/>
              </w:rPr>
              <w:t xml:space="preserve">shipmentId</w:t>
            </w:r>
          </w:p>
        </w:tc>
        <w:tc>
          <w:tcPr>
            <w:tcW w:type="dxa" w:w="1900"/>
            <w:tcMar>
              <w:top w:type="dxa" w:w="80"/>
              <w:left w:type="dxa" w:w="110"/>
              <w:bottom w:type="dxa" w:w="80"/>
              <w:right w:type="dxa" w:w="110"/>
            </w:tcMar>
            <w:vAlign w:val="center"/>
          </w:tcPr>
          <w:p>
            <w:r>
              <w:rPr>
                <w:rFonts w:ascii="Calibri" w:cs="Calibri" w:eastAsia="Calibri" w:hAnsi="Calibri"/>
                <w:color w:val="000000"/>
                <w:sz w:val="20"/>
                <w:szCs w:val="20"/>
              </w:rPr>
              <w:t xml:space="preserve">relatedShipmentId</w:t>
            </w:r>
          </w:p>
        </w:tc>
        <w:tc>
          <w:tcPr>
            <w:tcW w:type="dxa" w:w="1900"/>
            <w:tcMar>
              <w:top w:type="dxa" w:w="80"/>
              <w:left w:type="dxa" w:w="110"/>
              <w:bottom w:type="dxa" w:w="80"/>
              <w:right w:type="dxa" w:w="110"/>
            </w:tcMar>
            <w:vAlign w:val="center"/>
          </w:tcPr>
          <w:p>
            <w:r>
              <w:rPr>
                <w:rFonts w:ascii="Calibri" w:cs="Calibri" w:eastAsia="Calibri" w:hAnsi="Calibri"/>
                <w:color w:val="000000"/>
                <w:sz w:val="20"/>
                <w:szCs w:val="20"/>
              </w:rPr>
              <w:t xml:space="preserve">String</w:t>
            </w:r>
          </w:p>
        </w:tc>
        <w:tc>
          <w:tcPr>
            <w:tcW w:type="dxa" w:w="3800"/>
            <w:tcMar>
              <w:top w:type="dxa" w:w="80"/>
              <w:left w:type="dxa" w:w="110"/>
              <w:bottom w:type="dxa" w:w="80"/>
              <w:right w:type="dxa" w:w="110"/>
            </w:tcMar>
            <w:vAlign w:val="center"/>
          </w:tcPr>
          <w:p>
            <w:r>
              <w:rPr>
                <w:rFonts w:ascii="Calibri" w:cs="Calibri" w:eastAsia="Calibri" w:hAnsi="Calibri"/>
                <w:color w:val="000000"/>
                <w:sz w:val="20"/>
                <w:szCs w:val="20"/>
              </w:rPr>
              <w:t xml:space="preserve">Pass-through foreign key link between shipment and PM task.</w:t>
            </w:r>
          </w:p>
        </w:tc>
      </w:tr>
      <w:tr>
        <w:tc>
          <w:tcPr>
            <w:tcW w:type="dxa" w:w="1900"/>
            <w:tcMar>
              <w:top w:type="dxa" w:w="80"/>
              <w:left w:type="dxa" w:w="110"/>
              <w:bottom w:type="dxa" w:w="80"/>
              <w:right w:type="dxa" w:w="110"/>
            </w:tcMar>
            <w:vAlign w:val="center"/>
          </w:tcPr>
          <w:p>
            <w:r>
              <w:rPr>
                <w:rFonts w:ascii="Calibri" w:cs="Calibri" w:eastAsia="Calibri" w:hAnsi="Calibri"/>
                <w:color w:val="000000"/>
                <w:sz w:val="20"/>
                <w:szCs w:val="20"/>
              </w:rPr>
              <w:t xml:space="preserve">project_id</w:t>
            </w:r>
          </w:p>
        </w:tc>
        <w:tc>
          <w:tcPr>
            <w:tcW w:type="dxa" w:w="1900"/>
            <w:tcMar>
              <w:top w:type="dxa" w:w="80"/>
              <w:left w:type="dxa" w:w="110"/>
              <w:bottom w:type="dxa" w:w="80"/>
              <w:right w:type="dxa" w:w="110"/>
            </w:tcMar>
            <w:vAlign w:val="center"/>
          </w:tcPr>
          <w:p>
            <w:r>
              <w:rPr>
                <w:rFonts w:ascii="Calibri" w:cs="Calibri" w:eastAsia="Calibri" w:hAnsi="Calibri"/>
                <w:color w:val="000000"/>
                <w:sz w:val="20"/>
                <w:szCs w:val="20"/>
              </w:rPr>
              <w:t xml:space="preserve">projectId</w:t>
            </w:r>
          </w:p>
        </w:tc>
        <w:tc>
          <w:tcPr>
            <w:tcW w:type="dxa" w:w="1900"/>
            <w:tcMar>
              <w:top w:type="dxa" w:w="80"/>
              <w:left w:type="dxa" w:w="110"/>
              <w:bottom w:type="dxa" w:w="80"/>
              <w:right w:type="dxa" w:w="110"/>
            </w:tcMar>
            <w:vAlign w:val="center"/>
          </w:tcPr>
          <w:p>
            <w:r>
              <w:rPr>
                <w:rFonts w:ascii="Calibri" w:cs="Calibri" w:eastAsia="Calibri" w:hAnsi="Calibri"/>
                <w:color w:val="000000"/>
                <w:sz w:val="20"/>
                <w:szCs w:val="20"/>
              </w:rPr>
              <w:t xml:space="preserve">String</w:t>
            </w:r>
          </w:p>
        </w:tc>
        <w:tc>
          <w:tcPr>
            <w:tcW w:type="dxa" w:w="3800"/>
            <w:tcMar>
              <w:top w:type="dxa" w:w="80"/>
              <w:left w:type="dxa" w:w="110"/>
              <w:bottom w:type="dxa" w:w="80"/>
              <w:right w:type="dxa" w:w="110"/>
            </w:tcMar>
            <w:vAlign w:val="center"/>
          </w:tcPr>
          <w:p>
            <w:r>
              <w:rPr>
                <w:rFonts w:ascii="Calibri" w:cs="Calibri" w:eastAsia="Calibri" w:hAnsi="Calibri"/>
                <w:color w:val="000000"/>
                <w:sz w:val="20"/>
                <w:szCs w:val="20"/>
              </w:rPr>
              <w:t xml:space="preserve">Direct cast; must match an existing PM project record.</w:t>
            </w:r>
          </w:p>
        </w:tc>
      </w:tr>
      <w:tr>
        <w:tc>
          <w:tcPr>
            <w:tcW w:type="dxa" w:w="1900"/>
            <w:tcMar>
              <w:top w:type="dxa" w:w="80"/>
              <w:left w:type="dxa" w:w="110"/>
              <w:bottom w:type="dxa" w:w="80"/>
              <w:right w:type="dxa" w:w="110"/>
            </w:tcMar>
            <w:vAlign w:val="center"/>
          </w:tcPr>
          <w:p>
            <w:r>
              <w:rPr>
                <w:rFonts w:ascii="Calibri" w:cs="Calibri" w:eastAsia="Calibri" w:hAnsi="Calibri"/>
                <w:color w:val="000000"/>
                <w:sz w:val="20"/>
                <w:szCs w:val="20"/>
              </w:rPr>
              <w:t xml:space="preserve">delayReason + delayDurationDays</w:t>
            </w:r>
          </w:p>
        </w:tc>
        <w:tc>
          <w:tcPr>
            <w:tcW w:type="dxa" w:w="1900"/>
            <w:tcMar>
              <w:top w:type="dxa" w:w="80"/>
              <w:left w:type="dxa" w:w="110"/>
              <w:bottom w:type="dxa" w:w="80"/>
              <w:right w:type="dxa" w:w="110"/>
            </w:tcMar>
            <w:vAlign w:val="center"/>
          </w:tcPr>
          <w:p>
            <w:r>
              <w:rPr>
                <w:rFonts w:ascii="Calibri" w:cs="Calibri" w:eastAsia="Calibri" w:hAnsi="Calibri"/>
                <w:color w:val="000000"/>
                <w:sz w:val="20"/>
                <w:szCs w:val="20"/>
              </w:rPr>
              <w:t xml:space="preserve">impactNotes</w:t>
            </w:r>
          </w:p>
        </w:tc>
        <w:tc>
          <w:tcPr>
            <w:tcW w:type="dxa" w:w="1900"/>
            <w:tcMar>
              <w:top w:type="dxa" w:w="80"/>
              <w:left w:type="dxa" w:w="110"/>
              <w:bottom w:type="dxa" w:w="80"/>
              <w:right w:type="dxa" w:w="110"/>
            </w:tcMar>
            <w:vAlign w:val="center"/>
          </w:tcPr>
          <w:p>
            <w:r>
              <w:rPr>
                <w:rFonts w:ascii="Calibri" w:cs="Calibri" w:eastAsia="Calibri" w:hAnsi="Calibri"/>
                <w:color w:val="000000"/>
                <w:sz w:val="20"/>
                <w:szCs w:val="20"/>
              </w:rPr>
              <w:t xml:space="preserve">String (concatenated)</w:t>
            </w:r>
          </w:p>
        </w:tc>
        <w:tc>
          <w:tcPr>
            <w:tcW w:type="dxa" w:w="3800"/>
            <w:tcMar>
              <w:top w:type="dxa" w:w="80"/>
              <w:left w:type="dxa" w:w="110"/>
              <w:bottom w:type="dxa" w:w="80"/>
              <w:right w:type="dxa" w:w="110"/>
            </w:tcMar>
            <w:vAlign w:val="center"/>
          </w:tcPr>
          <w:p>
            <w:r>
              <w:rPr>
                <w:rFonts w:ascii="Calibri" w:cs="Calibri" w:eastAsia="Calibri" w:hAnsi="Calibri"/>
                <w:color w:val="000000"/>
                <w:sz w:val="20"/>
                <w:szCs w:val="20"/>
              </w:rPr>
              <w:t xml:space="preserve">Formatted into a human-readable note: “Shipment delayed {n} day(s) - {delayReason}.”</w:t>
            </w:r>
          </w:p>
        </w:tc>
      </w:tr>
      <w:tr>
        <w:tc>
          <w:tcPr>
            <w:tcW w:type="dxa" w:w="1900"/>
            <w:tcMar>
              <w:top w:type="dxa" w:w="80"/>
              <w:left w:type="dxa" w:w="110"/>
              <w:bottom w:type="dxa" w:w="80"/>
              <w:right w:type="dxa" w:w="110"/>
            </w:tcMar>
            <w:vAlign w:val="center"/>
          </w:tcPr>
          <w:p>
            <w:r>
              <w:rPr>
                <w:rFonts w:ascii="Calibri" w:cs="Calibri" w:eastAsia="Calibri" w:hAnsi="Calibri"/>
                <w:color w:val="000000"/>
                <w:sz w:val="20"/>
                <w:szCs w:val="20"/>
              </w:rPr>
              <w:t xml:space="preserve">status = “Delayed”</w:t>
            </w:r>
          </w:p>
        </w:tc>
        <w:tc>
          <w:tcPr>
            <w:tcW w:type="dxa" w:w="1900"/>
            <w:tcMar>
              <w:top w:type="dxa" w:w="80"/>
              <w:left w:type="dxa" w:w="110"/>
              <w:bottom w:type="dxa" w:w="80"/>
              <w:right w:type="dxa" w:w="110"/>
            </w:tcMar>
            <w:vAlign w:val="center"/>
          </w:tcPr>
          <w:p>
            <w:r>
              <w:rPr>
                <w:rFonts w:ascii="Calibri" w:cs="Calibri" w:eastAsia="Calibri" w:hAnsi="Calibri"/>
                <w:color w:val="000000"/>
                <w:sz w:val="20"/>
                <w:szCs w:val="20"/>
              </w:rPr>
              <w:t xml:space="preserve">newTaskStatus = “On_Hold”</w:t>
            </w:r>
          </w:p>
        </w:tc>
        <w:tc>
          <w:tcPr>
            <w:tcW w:type="dxa" w:w="1900"/>
            <w:tcMar>
              <w:top w:type="dxa" w:w="80"/>
              <w:left w:type="dxa" w:w="110"/>
              <w:bottom w:type="dxa" w:w="80"/>
              <w:right w:type="dxa" w:w="110"/>
            </w:tcMar>
            <w:vAlign w:val="center"/>
          </w:tcPr>
          <w:p>
            <w:r>
              <w:rPr>
                <w:rFonts w:ascii="Calibri" w:cs="Calibri" w:eastAsia="Calibri" w:hAnsi="Calibri"/>
                <w:color w:val="000000"/>
                <w:sz w:val="20"/>
                <w:szCs w:val="20"/>
              </w:rPr>
              <w:t xml:space="preserve">String (enum mapping)</w:t>
            </w:r>
          </w:p>
        </w:tc>
        <w:tc>
          <w:tcPr>
            <w:tcW w:type="dxa" w:w="3800"/>
            <w:tcMar>
              <w:top w:type="dxa" w:w="80"/>
              <w:left w:type="dxa" w:w="110"/>
              <w:bottom w:type="dxa" w:w="80"/>
              <w:right w:type="dxa" w:w="110"/>
            </w:tcMar>
            <w:vAlign w:val="center"/>
          </w:tcPr>
          <w:p>
            <w:r>
              <w:rPr>
                <w:rFonts w:ascii="Calibri" w:cs="Calibri" w:eastAsia="Calibri" w:hAnsi="Calibri"/>
                <w:color w:val="000000"/>
                <w:sz w:val="20"/>
                <w:szCs w:val="20"/>
              </w:rPr>
              <w:t xml:space="preserve">If SCM.status = “Delayed,” set PM.taskStatus = “On_Hold.”</w:t>
            </w:r>
          </w:p>
        </w:tc>
      </w:tr>
      <w:tr>
        <w:tc>
          <w:tcPr>
            <w:tcW w:type="dxa" w:w="1900"/>
            <w:tcMar>
              <w:top w:type="dxa" w:w="80"/>
              <w:left w:type="dxa" w:w="110"/>
              <w:bottom w:type="dxa" w:w="80"/>
              <w:right w:type="dxa" w:w="110"/>
            </w:tcMar>
            <w:vAlign w:val="center"/>
          </w:tcPr>
          <w:p>
            <w:r>
              <w:rPr>
                <w:rFonts w:ascii="Calibri" w:cs="Calibri" w:eastAsia="Calibri" w:hAnsi="Calibri"/>
                <w:color w:val="000000"/>
                <w:sz w:val="20"/>
                <w:szCs w:val="20"/>
              </w:rPr>
              <w:t xml:space="preserve">revisedETA</w:t>
            </w:r>
          </w:p>
        </w:tc>
        <w:tc>
          <w:tcPr>
            <w:tcW w:type="dxa" w:w="1900"/>
            <w:tcMar>
              <w:top w:type="dxa" w:w="80"/>
              <w:left w:type="dxa" w:w="110"/>
              <w:bottom w:type="dxa" w:w="80"/>
              <w:right w:type="dxa" w:w="110"/>
            </w:tcMar>
            <w:vAlign w:val="center"/>
          </w:tcPr>
          <w:p>
            <w:r>
              <w:rPr>
                <w:rFonts w:ascii="Calibri" w:cs="Calibri" w:eastAsia="Calibri" w:hAnsi="Calibri"/>
                <w:color w:val="000000"/>
                <w:sz w:val="20"/>
                <w:szCs w:val="20"/>
              </w:rPr>
              <w:t xml:space="preserve">revisedDueDate</w:t>
            </w:r>
          </w:p>
        </w:tc>
        <w:tc>
          <w:tcPr>
            <w:tcW w:type="dxa" w:w="1900"/>
            <w:tcMar>
              <w:top w:type="dxa" w:w="80"/>
              <w:left w:type="dxa" w:w="110"/>
              <w:bottom w:type="dxa" w:w="80"/>
              <w:right w:type="dxa" w:w="110"/>
            </w:tcMar>
            <w:vAlign w:val="center"/>
          </w:tcPr>
          <w:p>
            <w:r>
              <w:rPr>
                <w:rFonts w:ascii="Calibri" w:cs="Calibri" w:eastAsia="Calibri" w:hAnsi="Calibri"/>
                <w:color w:val="000000"/>
                <w:sz w:val="20"/>
                <w:szCs w:val="20"/>
              </w:rPr>
              <w:t xml:space="preserve">Date (YYYY-MM-DD)</w:t>
            </w:r>
          </w:p>
        </w:tc>
        <w:tc>
          <w:tcPr>
            <w:tcW w:type="dxa" w:w="3800"/>
            <w:tcMar>
              <w:top w:type="dxa" w:w="80"/>
              <w:left w:type="dxa" w:w="110"/>
              <w:bottom w:type="dxa" w:w="80"/>
              <w:right w:type="dxa" w:w="110"/>
            </w:tcMar>
            <w:vAlign w:val="center"/>
          </w:tcPr>
          <w:p>
            <w:r>
              <w:rPr>
                <w:rFonts w:ascii="Calibri" w:cs="Calibri" w:eastAsia="Calibri" w:hAnsi="Calibri"/>
                <w:color w:val="000000"/>
                <w:sz w:val="20"/>
                <w:szCs w:val="20"/>
              </w:rPr>
              <w:t xml:space="preserve">Direct cast; must be ≥ originalETA, else flagged invalid.</w:t>
            </w:r>
          </w:p>
        </w:tc>
      </w:tr>
      <w:tr>
        <w:tc>
          <w:tcPr>
            <w:tcW w:type="dxa" w:w="1900"/>
            <w:tcMar>
              <w:top w:type="dxa" w:w="80"/>
              <w:left w:type="dxa" w:w="110"/>
              <w:bottom w:type="dxa" w:w="80"/>
              <w:right w:type="dxa" w:w="110"/>
            </w:tcMar>
            <w:vAlign w:val="center"/>
          </w:tcPr>
          <w:p>
            <w:r>
              <w:rPr>
                <w:rFonts w:ascii="Calibri" w:cs="Calibri" w:eastAsia="Calibri" w:hAnsi="Calibri"/>
                <w:color w:val="000000"/>
                <w:sz w:val="20"/>
                <w:szCs w:val="20"/>
              </w:rPr>
              <w:t xml:space="preserve">delayDurationDays</w:t>
            </w:r>
          </w:p>
        </w:tc>
        <w:tc>
          <w:tcPr>
            <w:tcW w:type="dxa" w:w="1900"/>
            <w:tcMar>
              <w:top w:type="dxa" w:w="80"/>
              <w:left w:type="dxa" w:w="110"/>
              <w:bottom w:type="dxa" w:w="80"/>
              <w:right w:type="dxa" w:w="110"/>
            </w:tcMar>
            <w:vAlign w:val="center"/>
          </w:tcPr>
          <w:p>
            <w:r>
              <w:rPr>
                <w:rFonts w:ascii="Calibri" w:cs="Calibri" w:eastAsia="Calibri" w:hAnsi="Calibri"/>
                <w:color w:val="000000"/>
                <w:sz w:val="20"/>
                <w:szCs w:val="20"/>
              </w:rPr>
              <w:t xml:space="preserve">isCritical (internal flag)</w:t>
            </w:r>
          </w:p>
        </w:tc>
        <w:tc>
          <w:tcPr>
            <w:tcW w:type="dxa" w:w="1900"/>
            <w:tcMar>
              <w:top w:type="dxa" w:w="80"/>
              <w:left w:type="dxa" w:w="110"/>
              <w:bottom w:type="dxa" w:w="80"/>
              <w:right w:type="dxa" w:w="110"/>
            </w:tcMar>
            <w:vAlign w:val="center"/>
          </w:tcPr>
          <w:p>
            <w:r>
              <w:rPr>
                <w:rFonts w:ascii="Calibri" w:cs="Calibri" w:eastAsia="Calibri" w:hAnsi="Calibri"/>
                <w:color w:val="000000"/>
                <w:sz w:val="20"/>
                <w:szCs w:val="20"/>
              </w:rPr>
              <w:t xml:space="preserve">Integer → Boolean (calculated)</w:t>
            </w:r>
          </w:p>
        </w:tc>
        <w:tc>
          <w:tcPr>
            <w:tcW w:type="dxa" w:w="3800"/>
            <w:tcMar>
              <w:top w:type="dxa" w:w="80"/>
              <w:left w:type="dxa" w:w="110"/>
              <w:bottom w:type="dxa" w:w="80"/>
              <w:right w:type="dxa" w:w="110"/>
            </w:tcMar>
            <w:vAlign w:val="center"/>
          </w:tcPr>
          <w:p>
            <w:r>
              <w:rPr>
                <w:rFonts w:ascii="Calibri" w:cs="Calibri" w:eastAsia="Calibri" w:hAnsi="Calibri"/>
                <w:color w:val="000000"/>
                <w:sz w:val="20"/>
                <w:szCs w:val="20"/>
              </w:rPr>
              <w:t xml:space="preserve">true if delayDurationDays &gt; 3; routes to priority queue for Node D monitoring.</w:t>
            </w:r>
          </w:p>
        </w:tc>
      </w:tr>
    </w:tbl>
    <w:p>
      <w:pPr>
        <w:spacing w:before="120"/>
      </w:pPr>
    </w:p>
    <w:p>
      <w:pPr>
        <w:spacing w:after="120"/>
        <w:jc w:val="left"/>
      </w:pPr>
      <w:r>
        <w:rPr>
          <w:rFonts w:ascii="Calibri" w:cs="Calibri" w:eastAsia="Calibri" w:hAnsi="Calibri"/>
          <w:sz w:val="22"/>
          <w:szCs w:val="22"/>
        </w:rPr>
        <w:t xml:space="preserve">Middleware transformation function (Node.js, simplified):</w:t>
      </w:r>
    </w:p>
    <w:p>
      <w:pPr>
        <w:spacing w:after="20"/>
        <w:ind w:left="560"/>
      </w:pPr>
      <w:r>
        <w:rPr>
          <w:rFonts w:ascii="Courier New" w:cs="Courier New" w:eastAsia="Courier New" w:hAnsi="Courier New"/>
          <w:sz w:val="19"/>
          <w:szCs w:val="19"/>
        </w:rPr>
        <w:t xml:space="preserve">function transformShipmentEvent(scm) {</w:t>
      </w:r>
    </w:p>
    <w:p>
      <w:pPr>
        <w:spacing w:after="20"/>
        <w:ind w:left="560"/>
      </w:pPr>
      <w:r>
        <w:rPr>
          <w:rFonts w:ascii="Courier New" w:cs="Courier New" w:eastAsia="Courier New" w:hAnsi="Courier New"/>
          <w:sz w:val="19"/>
          <w:szCs w:val="19"/>
        </w:rPr>
        <w:t xml:space="preserve">  return {</w:t>
      </w:r>
    </w:p>
    <w:p>
      <w:pPr>
        <w:spacing w:after="20"/>
        <w:ind w:left="560"/>
      </w:pPr>
      <w:r>
        <w:rPr>
          <w:rFonts w:ascii="Courier New" w:cs="Courier New" w:eastAsia="Courier New" w:hAnsi="Courier New"/>
          <w:sz w:val="19"/>
          <w:szCs w:val="19"/>
        </w:rPr>
        <w:t xml:space="preserve">    projectId: scm.project_id,</w:t>
      </w:r>
    </w:p>
    <w:p>
      <w:pPr>
        <w:spacing w:after="20"/>
        <w:ind w:left="560"/>
      </w:pPr>
      <w:r>
        <w:rPr>
          <w:rFonts w:ascii="Courier New" w:cs="Courier New" w:eastAsia="Courier New" w:hAnsi="Courier New"/>
          <w:sz w:val="19"/>
          <w:szCs w:val="19"/>
        </w:rPr>
        <w:t xml:space="preserve">    taskId: lookupTaskId(scm.project_id, scm.shipmentId),</w:t>
      </w:r>
    </w:p>
    <w:p>
      <w:pPr>
        <w:spacing w:after="20"/>
        <w:ind w:left="560"/>
      </w:pPr>
      <w:r>
        <w:rPr>
          <w:rFonts w:ascii="Courier New" w:cs="Courier New" w:eastAsia="Courier New" w:hAnsi="Courier New"/>
          <w:sz w:val="19"/>
          <w:szCs w:val="19"/>
        </w:rPr>
        <w:t xml:space="preserve">    relatedShipmentId: scm.shipmentId,</w:t>
      </w:r>
    </w:p>
    <w:p>
      <w:pPr>
        <w:spacing w:after="20"/>
        <w:ind w:left="560"/>
      </w:pPr>
      <w:r>
        <w:rPr>
          <w:rFonts w:ascii="Courier New" w:cs="Courier New" w:eastAsia="Courier New" w:hAnsi="Courier New"/>
          <w:sz w:val="19"/>
          <w:szCs w:val="19"/>
        </w:rPr>
        <w:t xml:space="preserve">    newTaskStatus: scm.status === 'Delayed' ? 'On_Hold' : 'In_Progress',</w:t>
      </w:r>
    </w:p>
    <w:p>
      <w:pPr>
        <w:spacing w:after="20"/>
        <w:ind w:left="560"/>
      </w:pPr>
      <w:r>
        <w:rPr>
          <w:rFonts w:ascii="Courier New" w:cs="Courier New" w:eastAsia="Courier New" w:hAnsi="Courier New"/>
          <w:sz w:val="19"/>
          <w:szCs w:val="19"/>
        </w:rPr>
        <w:t xml:space="preserve">    revisedDueDate: scm.revisedETA,</w:t>
      </w:r>
    </w:p>
    <w:p>
      <w:pPr>
        <w:spacing w:after="20"/>
        <w:ind w:left="560"/>
      </w:pPr>
      <w:r>
        <w:rPr>
          <w:rFonts w:ascii="Courier New" w:cs="Courier New" w:eastAsia="Courier New" w:hAnsi="Courier New"/>
          <w:sz w:val="19"/>
          <w:szCs w:val="19"/>
        </w:rPr>
        <w:t xml:space="preserve">    impactNotes: `Shipment delayed ${scm.delayDurationDays} day(s) - ${scm.delayReason}.`,</w:t>
      </w:r>
    </w:p>
    <w:p>
      <w:pPr>
        <w:spacing w:after="20"/>
        <w:ind w:left="560"/>
      </w:pPr>
      <w:r>
        <w:rPr>
          <w:rFonts w:ascii="Courier New" w:cs="Courier New" w:eastAsia="Courier New" w:hAnsi="Courier New"/>
          <w:sz w:val="19"/>
          <w:szCs w:val="19"/>
        </w:rPr>
        <w:t xml:space="preserve">    isCritical: Number(scm.delayDurationDays) &gt; 3</w:t>
      </w:r>
    </w:p>
    <w:p>
      <w:pPr>
        <w:spacing w:after="20"/>
        <w:ind w:left="560"/>
      </w:pPr>
      <w:r>
        <w:rPr>
          <w:rFonts w:ascii="Courier New" w:cs="Courier New" w:eastAsia="Courier New" w:hAnsi="Courier New"/>
          <w:sz w:val="19"/>
          <w:szCs w:val="19"/>
        </w:rPr>
        <w:t xml:space="preserve">  };</w:t>
      </w:r>
    </w:p>
    <w:p>
      <w:pPr>
        <w:spacing w:after="180"/>
        <w:ind w:left="560"/>
      </w:pPr>
      <w:r>
        <w:rPr>
          <w:rFonts w:ascii="Courier New" w:cs="Courier New" w:eastAsia="Courier New" w:hAnsi="Courier New"/>
          <w:sz w:val="19"/>
          <w:szCs w:val="19"/>
        </w:rPr>
        <w:t xml:space="preserve">}</w:t>
      </w:r>
    </w:p>
    <w:p>
      <w:pPr>
        <w:spacing w:after="100" w:before="160"/>
        <w:ind w:left="260"/>
      </w:pPr>
      <w:r>
        <w:rPr>
          <w:rFonts w:ascii="Calibri" w:cs="Calibri" w:eastAsia="Calibri" w:hAnsi="Calibri"/>
          <w:b/>
          <w:bCs/>
          <w:i w:val="false"/>
          <w:iCs w:val="false"/>
          <w:color w:val="000000"/>
          <w:sz w:val="22"/>
          <w:szCs w:val="22"/>
        </w:rPr>
        <w:t xml:space="preserve">Transactional Resiliency Check — Saga Pattern with Compensating Transactions</w:t>
      </w:r>
    </w:p>
    <w:p>
      <w:pPr>
        <w:spacing w:after="120"/>
        <w:jc w:val="left"/>
      </w:pPr>
      <w:r>
        <w:rPr>
          <w:rFonts w:ascii="Calibri" w:cs="Calibri" w:eastAsia="Calibri" w:hAnsi="Calibri"/>
          <w:sz w:val="22"/>
          <w:szCs w:val="22"/>
        </w:rPr>
        <w:t xml:space="preserve">Because SCM and PM are decoupled, asynchronous systems (not a single database), a classic two-phase commit is not practical here. Sub-Team C instead implemented the Saga pattern with compensating transactions and an asynchronous retry/DLQ strategy:</w:t>
      </w:r>
    </w:p>
    <w:p>
      <w:pPr>
        <w:pStyle w:val="ListParagraph"/>
        <w:numPr>
          <w:ilvl w:val="0"/>
          <w:numId w:val="1"/>
        </w:numPr>
        <w:spacing w:after="80"/>
      </w:pPr>
      <w:r>
        <w:rPr>
          <w:rFonts w:ascii="Calibri" w:cs="Calibri" w:eastAsia="Calibri" w:hAnsi="Calibri"/>
          <w:sz w:val="22"/>
          <w:szCs w:val="22"/>
        </w:rPr>
        <w:t xml:space="preserve">Local commit first: SCM commits the shipment-delayed status locally and publishes the event; it does not wait for PM to respond.</w:t>
      </w:r>
    </w:p>
    <w:p>
      <w:pPr>
        <w:pStyle w:val="ListParagraph"/>
        <w:numPr>
          <w:ilvl w:val="0"/>
          <w:numId w:val="1"/>
        </w:numPr>
        <w:spacing w:after="80"/>
      </w:pPr>
      <w:r>
        <w:rPr>
          <w:rFonts w:ascii="Calibri" w:cs="Calibri" w:eastAsia="Calibri" w:hAnsi="Calibri"/>
          <w:sz w:val="22"/>
          <w:szCs w:val="22"/>
        </w:rPr>
        <w:t xml:space="preserve">Idempotency Key: every event carries event_id, reused as the X-Idempotency-Key header. Node B stores processed keys and discards duplicate deliveries, so a retried message never double-applies a task update.</w:t>
      </w:r>
    </w:p>
    <w:p>
      <w:pPr>
        <w:pStyle w:val="ListParagraph"/>
        <w:numPr>
          <w:ilvl w:val="0"/>
          <w:numId w:val="1"/>
        </w:numPr>
        <w:spacing w:after="80"/>
      </w:pPr>
      <w:r>
        <w:rPr>
          <w:rFonts w:ascii="Calibri" w:cs="Calibri" w:eastAsia="Calibri" w:hAnsi="Calibri"/>
          <w:sz w:val="22"/>
          <w:szCs w:val="22"/>
        </w:rPr>
        <w:t xml:space="preserve">Retry logic: if the middleware’s call to PM fails (timeout, 5xx), it retries with exponential backoff — attempts at 5s, 30s, and 2 minutes.</w:t>
      </w:r>
    </w:p>
    <w:p>
      <w:pPr>
        <w:pStyle w:val="ListParagraph"/>
        <w:numPr>
          <w:ilvl w:val="0"/>
          <w:numId w:val="1"/>
        </w:numPr>
        <w:spacing w:after="80"/>
      </w:pPr>
      <w:r>
        <w:rPr>
          <w:rFonts w:ascii="Calibri" w:cs="Calibri" w:eastAsia="Calibri" w:hAnsi="Calibri"/>
          <w:sz w:val="22"/>
          <w:szCs w:val="22"/>
        </w:rPr>
        <w:t xml:space="preserve">Dead Letter Queue (DLQ): after 3 failed attempts, the event is moved to a Dead Letter Queue instead of being dropped, and an alert is raised to Sub-Team D/Ops for manual review.</w:t>
      </w:r>
    </w:p>
    <w:p>
      <w:pPr>
        <w:pStyle w:val="ListParagraph"/>
        <w:numPr>
          <w:ilvl w:val="0"/>
          <w:numId w:val="1"/>
        </w:numPr>
        <w:spacing w:after="80"/>
      </w:pPr>
      <w:r>
        <w:rPr>
          <w:rFonts w:ascii="Calibri" w:cs="Calibri" w:eastAsia="Calibri" w:hAnsi="Calibri"/>
          <w:sz w:val="22"/>
          <w:szCs w:val="22"/>
        </w:rPr>
        <w:t xml:space="preserve">Compensating transaction: if PM permanently rejects the event (e.g., unknown projectId), the middleware publishes a SHIPMENT_SYNC_FAILED compensating event back to SCM so the shipment record is flagged “Integration Pending” instead of silently appearing synced.</w:t>
      </w:r>
    </w:p>
    <w:p>
      <w:pPr>
        <w:spacing w:after="120"/>
        <w:jc w:val="left"/>
      </w:pPr>
      <w:r>
        <w:rPr>
          <w:rFonts w:ascii="Calibri" w:cs="Calibri" w:eastAsia="Calibri" w:hAnsi="Calibri"/>
          <w:sz w:val="22"/>
          <w:szCs w:val="22"/>
        </w:rPr>
        <w:t xml:space="preserve">This mirrors the atomicity guarantee of the 2PC/ACID rollback used in Activity 3 (HR ↔ Finance), adapted to an at-least-once, message-driven architecture: no task is left permanently out of sync with its shipment, and no duplicate task update is ever applied.</w:t>
      </w:r>
    </w:p>
    <w:p>
      <w:pPr>
        <w:spacing w:after="140" w:before="260"/>
      </w:pPr>
      <w:r>
        <w:rPr>
          <w:rFonts w:ascii="Calibri" w:cs="Calibri" w:eastAsia="Calibri" w:hAnsi="Calibri"/>
          <w:b/>
          <w:bCs/>
          <w:color w:val="000000"/>
          <w:sz w:val="24"/>
          <w:szCs w:val="24"/>
        </w:rPr>
        <w:t xml:space="preserve">Task 3: Integrated Project Governance (Sub-Team D)</w:t>
      </w:r>
    </w:p>
    <w:p>
      <w:pPr>
        <w:spacing w:after="100" w:before="160"/>
        <w:ind w:left="260"/>
      </w:pPr>
      <w:r>
        <w:rPr>
          <w:rFonts w:ascii="Calibri" w:cs="Calibri" w:eastAsia="Calibri" w:hAnsi="Calibri"/>
          <w:b/>
          <w:bCs/>
          <w:i w:val="false"/>
          <w:iCs w:val="false"/>
          <w:color w:val="000000"/>
          <w:sz w:val="22"/>
          <w:szCs w:val="22"/>
        </w:rPr>
        <w:t xml:space="preserve">Integration KPIs (minimum 3):</w:t>
      </w:r>
    </w:p>
    <w:p>
      <w:pPr>
        <w:pStyle w:val="ListParagraph"/>
        <w:numPr>
          <w:ilvl w:val="0"/>
          <w:numId w:val="1"/>
        </w:numPr>
        <w:spacing w:after="80"/>
      </w:pPr>
      <w:r>
        <w:rPr>
          <w:rFonts w:ascii="Calibri" w:cs="Calibri" w:eastAsia="Calibri" w:hAnsi="Calibri"/>
          <w:sz w:val="22"/>
          <w:szCs w:val="22"/>
        </w:rPr>
        <w:t xml:space="preserve">Integration Success Rate — (successful event deliveries ÷ total events published) × 100%. Target: ≥ 99%.</w:t>
      </w:r>
    </w:p>
    <w:p>
      <w:pPr>
        <w:pStyle w:val="ListParagraph"/>
        <w:numPr>
          <w:ilvl w:val="0"/>
          <w:numId w:val="1"/>
        </w:numPr>
        <w:spacing w:after="80"/>
      </w:pPr>
      <w:r>
        <w:rPr>
          <w:rFonts w:ascii="Calibri" w:cs="Calibri" w:eastAsia="Calibri" w:hAnsi="Calibri"/>
          <w:sz w:val="22"/>
          <w:szCs w:val="22"/>
        </w:rPr>
        <w:t xml:space="preserve">Average Processing Latency — average elapsed time between event_id publish timestamp and PM’s 200 OK acknowledgement. Target: &lt; 2 seconds.</w:t>
      </w:r>
    </w:p>
    <w:p>
      <w:pPr>
        <w:pStyle w:val="ListParagraph"/>
        <w:numPr>
          <w:ilvl w:val="0"/>
          <w:numId w:val="1"/>
        </w:numPr>
        <w:spacing w:after="80"/>
      </w:pPr>
      <w:r>
        <w:rPr>
          <w:rFonts w:ascii="Calibri" w:cs="Calibri" w:eastAsia="Calibri" w:hAnsi="Calibri"/>
          <w:sz w:val="22"/>
          <w:szCs w:val="22"/>
        </w:rPr>
        <w:t xml:space="preserve">Retry / DLQ Rate — percentage of events requiring at least one retry or landing in the Dead Letter Queue. Target: &lt; 1%.</w:t>
      </w:r>
    </w:p>
    <w:p>
      <w:pPr>
        <w:pStyle w:val="ListParagraph"/>
        <w:numPr>
          <w:ilvl w:val="0"/>
          <w:numId w:val="1"/>
        </w:numPr>
        <w:spacing w:after="80"/>
      </w:pPr>
      <w:r>
        <w:rPr>
          <w:rFonts w:ascii="Calibri" w:cs="Calibri" w:eastAsia="Calibri" w:hAnsi="Calibri"/>
          <w:sz w:val="22"/>
          <w:szCs w:val="22"/>
        </w:rPr>
        <w:t xml:space="preserve">Duplicate Suppression Rate — percentage of re-delivered events correctly identified and discarded via the idempotency key (should equal 100% of true duplicates).</w:t>
      </w:r>
    </w:p>
    <w:p>
      <w:pPr>
        <w:spacing w:after="100" w:before="160"/>
        <w:ind w:left="260"/>
      </w:pPr>
      <w:r>
        <w:rPr>
          <w:rFonts w:ascii="Calibri" w:cs="Calibri" w:eastAsia="Calibri" w:hAnsi="Calibri"/>
          <w:b/>
          <w:bCs/>
          <w:i w:val="false"/>
          <w:iCs w:val="false"/>
          <w:color w:val="000000"/>
          <w:sz w:val="22"/>
          <w:szCs w:val="22"/>
        </w:rPr>
        <w:t xml:space="preserve">Deployment Timeline — 3-Point Milestone Plan:</w:t>
      </w:r>
    </w:p>
    <w:p>
      <w:pPr>
        <w:pStyle w:val="ListParagraph"/>
        <w:numPr>
          <w:ilvl w:val="0"/>
          <w:numId w:val="1"/>
        </w:numPr>
        <w:spacing w:after="80"/>
      </w:pPr>
      <w:r>
        <w:rPr>
          <w:rFonts w:ascii="Calibri" w:cs="Calibri" w:eastAsia="Calibri" w:hAnsi="Calibri"/>
          <w:sz w:val="22"/>
          <w:szCs w:val="22"/>
        </w:rPr>
        <w:t xml:space="preserve">Milestone 1 (Week 1): Sub-Teams A &amp; B build and unit-test the outgoing webhook publisher and incoming REST endpoint; independent Postman validation of each payload.</w:t>
      </w:r>
    </w:p>
    <w:p>
      <w:pPr>
        <w:pStyle w:val="ListParagraph"/>
        <w:numPr>
          <w:ilvl w:val="0"/>
          <w:numId w:val="1"/>
        </w:numPr>
        <w:spacing w:after="80"/>
      </w:pPr>
      <w:r>
        <w:rPr>
          <w:rFonts w:ascii="Calibri" w:cs="Calibri" w:eastAsia="Calibri" w:hAnsi="Calibri"/>
          <w:sz w:val="22"/>
          <w:szCs w:val="22"/>
        </w:rPr>
        <w:t xml:space="preserve">Milestone 2 (Week 2): Sub-Team C implements the middleware transformation layer, field mapping, idempotency key check, retry logic, and DLQ; runs integration tests across all three nodes.</w:t>
      </w:r>
    </w:p>
    <w:p>
      <w:pPr>
        <w:pStyle w:val="ListParagraph"/>
        <w:numPr>
          <w:ilvl w:val="0"/>
          <w:numId w:val="1"/>
        </w:numPr>
        <w:spacing w:after="80"/>
      </w:pPr>
      <w:r>
        <w:rPr>
          <w:rFonts w:ascii="Calibri" w:cs="Calibri" w:eastAsia="Calibri" w:hAnsi="Calibri"/>
          <w:sz w:val="22"/>
          <w:szCs w:val="22"/>
        </w:rPr>
        <w:t xml:space="preserve">Milestone 3 (Week 3): Sub-Team D runs end-to-end and failure-simulation tests (forced network drop, duplicate delivery, invalid payload), finalizes KPI dashboards, and assembles the group’s single PDF + code base submission.</w:t>
      </w:r>
    </w:p>
    <w:p>
      <w:pPr>
        <w:spacing w:after="100" w:before="160"/>
        <w:ind w:left="260"/>
      </w:pPr>
      <w:r>
        <w:rPr>
          <w:rFonts w:ascii="Calibri" w:cs="Calibri" w:eastAsia="Calibri" w:hAnsi="Calibri"/>
          <w:b/>
          <w:bCs/>
          <w:i w:val="false"/>
          <w:iCs w:val="false"/>
          <w:color w:val="000000"/>
          <w:sz w:val="22"/>
          <w:szCs w:val="22"/>
        </w:rPr>
        <w:t xml:space="preserve">Final Technical Validation Check:</w:t>
      </w:r>
    </w:p>
    <w:p>
      <w:pPr>
        <w:spacing w:after="120"/>
        <w:jc w:val="left"/>
      </w:pPr>
      <w:r>
        <w:rPr>
          <w:rFonts w:ascii="Calibri" w:cs="Calibri" w:eastAsia="Calibri" w:hAnsi="Calibri"/>
          <w:sz w:val="22"/>
          <w:szCs w:val="22"/>
        </w:rPr>
        <w:t xml:space="preserve">Sub-Teams A, B, and C confirmed the executable design against all technical requirements: the outgoing SCM payload validated 100% against the agreed JSON schema, the PM endpoint correctly rejected all malformed test payloads (HTTP 400) and accepted all valid ones (HTTP 200), and the simulated network-drop test showed the event correctly moved to the Dead Letter Queue on the 4th failure with no duplicate task update recorded on reconnect — confirming the Saga/idempotency logic from Task 2 behaves as designed.</w:t>
      </w:r>
    </w:p>
    <w:p>
      <w:pPr>
        <w:spacing w:after="140" w:before="260"/>
      </w:pPr>
      <w:r>
        <w:rPr>
          <w:rFonts w:ascii="Calibri" w:cs="Calibri" w:eastAsia="Calibri" w:hAnsi="Calibri"/>
          <w:b/>
          <w:bCs/>
          <w:color w:val="000000"/>
          <w:sz w:val="26"/>
          <w:szCs w:val="26"/>
        </w:rPr>
        <w:t xml:space="preserve">4. Submission &amp; Deployment (Evaluation Rubric: 50 points)</w:t>
      </w:r>
    </w:p>
    <w:p>
      <w:pPr>
        <w:spacing w:after="120"/>
        <w:jc w:val="left"/>
      </w:pPr>
      <w:r>
        <w:rPr>
          <w:rFonts w:ascii="Calibri" w:cs="Calibri" w:eastAsia="Calibri" w:hAnsi="Calibri"/>
          <w:sz w:val="22"/>
          <w:szCs w:val="22"/>
        </w:rPr>
        <w:t xml:space="preserve">Submission is a single PDF for Group 2, categorized by Sub-Teams A, B, C, and D, with seamless coordination across all sections. The code base (SCM publisher, PM endpoint, and middleware) is packaged and submitted alongside this report.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2600"/>
        <w:gridCol w:w="2600"/>
      </w:tblGrid>
      <w:tr>
        <w:trPr>
          <w:tblHeader/>
        </w:trPr>
        <w:tc>
          <w:tcPr>
            <w:tcW w:type="dxa" w:w="2400"/>
            <w:shd w:fill="C6E0B4" w:val="clear"/>
            <w:tcMar>
              <w:top w:type="dxa" w:w="80"/>
              <w:left w:type="dxa" w:w="110"/>
              <w:bottom w:type="dxa" w:w="80"/>
              <w:right w:type="dxa" w:w="110"/>
            </w:tcMar>
            <w:vAlign w:val="center"/>
          </w:tcPr>
          <w:p>
            <w:r>
              <w:rPr>
                <w:rFonts w:ascii="Calibri" w:cs="Calibri" w:eastAsia="Calibri" w:hAnsi="Calibri"/>
                <w:b/>
                <w:bCs/>
                <w:color w:val="000000"/>
                <w:sz w:val="20"/>
                <w:szCs w:val="20"/>
              </w:rPr>
              <w:t xml:space="preserve">Engineering Track</w:t>
            </w:r>
          </w:p>
        </w:tc>
        <w:tc>
          <w:tcPr>
            <w:tcW w:type="dxa" w:w="2100"/>
            <w:shd w:fill="C6E0B4" w:val="clear"/>
            <w:tcMar>
              <w:top w:type="dxa" w:w="80"/>
              <w:left w:type="dxa" w:w="110"/>
              <w:bottom w:type="dxa" w:w="80"/>
              <w:right w:type="dxa" w:w="110"/>
            </w:tcMar>
            <w:vAlign w:val="center"/>
          </w:tcPr>
          <w:p>
            <w:r>
              <w:rPr>
                <w:rFonts w:ascii="Calibri" w:cs="Calibri" w:eastAsia="Calibri" w:hAnsi="Calibri"/>
                <w:b/>
                <w:bCs/>
                <w:color w:val="000000"/>
                <w:sz w:val="20"/>
                <w:szCs w:val="20"/>
              </w:rPr>
              <w:t xml:space="preserve">Members</w:t>
            </w:r>
          </w:p>
        </w:tc>
        <w:tc>
          <w:tcPr>
            <w:tcW w:type="dxa" w:w="2600"/>
            <w:shd w:fill="C6E0B4" w:val="clear"/>
            <w:tcMar>
              <w:top w:type="dxa" w:w="80"/>
              <w:left w:type="dxa" w:w="110"/>
              <w:bottom w:type="dxa" w:w="80"/>
              <w:right w:type="dxa" w:w="110"/>
            </w:tcMar>
            <w:vAlign w:val="center"/>
          </w:tcPr>
          <w:p>
            <w:r>
              <w:rPr>
                <w:rFonts w:ascii="Calibri" w:cs="Calibri" w:eastAsia="Calibri" w:hAnsi="Calibri"/>
                <w:b/>
                <w:bCs/>
                <w:color w:val="000000"/>
                <w:sz w:val="20"/>
                <w:szCs w:val="20"/>
              </w:rPr>
              <w:t xml:space="preserve">Evaluation Criteria</w:t>
            </w:r>
          </w:p>
        </w:tc>
        <w:tc>
          <w:tcPr>
            <w:tcW w:type="dxa" w:w="2600"/>
            <w:shd w:fill="C6E0B4" w:val="clear"/>
            <w:tcMar>
              <w:top w:type="dxa" w:w="80"/>
              <w:left w:type="dxa" w:w="110"/>
              <w:bottom w:type="dxa" w:w="80"/>
              <w:right w:type="dxa" w:w="110"/>
            </w:tcMar>
            <w:vAlign w:val="center"/>
          </w:tcPr>
          <w:p>
            <w:r>
              <w:rPr>
                <w:rFonts w:ascii="Calibri" w:cs="Calibri" w:eastAsia="Calibri" w:hAnsi="Calibri"/>
                <w:b/>
                <w:bCs/>
                <w:color w:val="000000"/>
                <w:sz w:val="20"/>
                <w:szCs w:val="20"/>
              </w:rPr>
              <w:t xml:space="preserve">Target Achieved (Exemplary, 12-15 pts)</w:t>
            </w:r>
          </w:p>
        </w:tc>
      </w:tr>
      <w:tr>
        <w:tc>
          <w:tcPr>
            <w:tcW w:type="dxa" w:w="2400"/>
            <w:shd w:fill="DDEBF7" w:val="clear"/>
            <w:tcMar>
              <w:top w:type="dxa" w:w="80"/>
              <w:left w:type="dxa" w:w="110"/>
              <w:bottom w:type="dxa" w:w="80"/>
              <w:right w:type="dxa" w:w="110"/>
            </w:tcMar>
            <w:vAlign w:val="center"/>
          </w:tcPr>
          <w:p>
            <w:r>
              <w:rPr>
                <w:rFonts w:ascii="Calibri" w:cs="Calibri" w:eastAsia="Calibri" w:hAnsi="Calibri"/>
                <w:b/>
                <w:bCs/>
                <w:color w:val="000000"/>
                <w:sz w:val="20"/>
                <w:szCs w:val="20"/>
              </w:rPr>
              <w:t xml:space="preserve">A: SCM Engineers (Webhook Event Node A)</w:t>
            </w:r>
          </w:p>
        </w:tc>
        <w:tc>
          <w:tcPr>
            <w:tcW w:type="dxa" w:w="2100"/>
            <w:tcMar>
              <w:top w:type="dxa" w:w="80"/>
              <w:left w:type="dxa" w:w="110"/>
              <w:bottom w:type="dxa" w:w="80"/>
              <w:right w:type="dxa" w:w="110"/>
            </w:tcMar>
            <w:vAlign w:val="center"/>
          </w:tcPr>
          <w:p>
            <w:r>
              <w:rPr>
                <w:rFonts w:ascii="Calibri" w:cs="Calibri" w:eastAsia="Calibri" w:hAnsi="Calibri"/>
                <w:color w:val="000000"/>
                <w:sz w:val="20"/>
                <w:szCs w:val="20"/>
              </w:rPr>
              <w:t xml:space="preserve">Charls Sampaga
Kian Lhei Pagkaliwagan</w:t>
            </w:r>
          </w:p>
        </w:tc>
        <w:tc>
          <w:tcPr>
            <w:tcW w:type="dxa" w:w="2600"/>
            <w:tcMar>
              <w:top w:type="dxa" w:w="80"/>
              <w:left w:type="dxa" w:w="110"/>
              <w:bottom w:type="dxa" w:w="80"/>
              <w:right w:type="dxa" w:w="110"/>
            </w:tcMar>
            <w:vAlign w:val="center"/>
          </w:tcPr>
          <w:p>
            <w:r>
              <w:rPr>
                <w:rFonts w:ascii="Calibri" w:cs="Calibri" w:eastAsia="Calibri" w:hAnsi="Calibri"/>
                <w:color w:val="000000"/>
                <w:sz w:val="20"/>
                <w:szCs w:val="20"/>
              </w:rPr>
              <w:t xml:space="preserve">Part A: Payload Accuracy &amp; Integration Logic (15 pts)</w:t>
            </w:r>
          </w:p>
        </w:tc>
        <w:tc>
          <w:tcPr>
            <w:tcW w:type="dxa" w:w="2600"/>
            <w:tcMar>
              <w:top w:type="dxa" w:w="80"/>
              <w:left w:type="dxa" w:w="110"/>
              <w:bottom w:type="dxa" w:w="80"/>
              <w:right w:type="dxa" w:w="110"/>
            </w:tcMar>
            <w:vAlign w:val="center"/>
          </w:tcPr>
          <w:p>
            <w:r>
              <w:rPr>
                <w:rFonts w:ascii="Calibri" w:cs="Calibri" w:eastAsia="Calibri" w:hAnsi="Calibri"/>
                <w:color w:val="000000"/>
                <w:sz w:val="20"/>
                <w:szCs w:val="20"/>
              </w:rPr>
              <w:t xml:space="preserve">Outgoing JSON payload is syntactically correct, includes all standardized identifiers (shipmentId, project_id, event_id, delayReason), and passed Postman validation.</w:t>
            </w:r>
          </w:p>
        </w:tc>
      </w:tr>
      <w:tr>
        <w:tc>
          <w:tcPr>
            <w:tcW w:type="dxa" w:w="2400"/>
            <w:shd w:fill="FCE4D6" w:val="clear"/>
            <w:tcMar>
              <w:top w:type="dxa" w:w="80"/>
              <w:left w:type="dxa" w:w="110"/>
              <w:bottom w:type="dxa" w:w="80"/>
              <w:right w:type="dxa" w:w="110"/>
            </w:tcMar>
            <w:vAlign w:val="center"/>
          </w:tcPr>
          <w:p>
            <w:r>
              <w:rPr>
                <w:rFonts w:ascii="Calibri" w:cs="Calibri" w:eastAsia="Calibri" w:hAnsi="Calibri"/>
                <w:b/>
                <w:bCs/>
                <w:color w:val="000000"/>
                <w:sz w:val="20"/>
                <w:szCs w:val="20"/>
              </w:rPr>
              <w:t xml:space="preserve">B: PM Engineers (REST API Endpoint Node B)</w:t>
            </w:r>
          </w:p>
        </w:tc>
        <w:tc>
          <w:tcPr>
            <w:tcW w:type="dxa" w:w="2100"/>
            <w:tcMar>
              <w:top w:type="dxa" w:w="80"/>
              <w:left w:type="dxa" w:w="110"/>
              <w:bottom w:type="dxa" w:w="80"/>
              <w:right w:type="dxa" w:w="110"/>
            </w:tcMar>
            <w:vAlign w:val="center"/>
          </w:tcPr>
          <w:p>
            <w:r>
              <w:rPr>
                <w:rFonts w:ascii="Calibri" w:cs="Calibri" w:eastAsia="Calibri" w:hAnsi="Calibri"/>
                <w:color w:val="000000"/>
                <w:sz w:val="20"/>
                <w:szCs w:val="20"/>
              </w:rPr>
              <w:t xml:space="preserve">Mhar Granado
Messiahlyn Mae Mabilangan</w:t>
            </w:r>
          </w:p>
        </w:tc>
        <w:tc>
          <w:tcPr>
            <w:tcW w:type="dxa" w:w="2600"/>
            <w:tcMar>
              <w:top w:type="dxa" w:w="80"/>
              <w:left w:type="dxa" w:w="110"/>
              <w:bottom w:type="dxa" w:w="80"/>
              <w:right w:type="dxa" w:w="110"/>
            </w:tcMar>
            <w:vAlign w:val="center"/>
          </w:tcPr>
          <w:p>
            <w:r>
              <w:rPr>
                <w:rFonts w:ascii="Calibri" w:cs="Calibri" w:eastAsia="Calibri" w:hAnsi="Calibri"/>
                <w:color w:val="000000"/>
                <w:sz w:val="20"/>
                <w:szCs w:val="20"/>
              </w:rPr>
              <w:t xml:space="preserve">Part B: API Specifications &amp; Implementation (15 pts)</w:t>
            </w:r>
          </w:p>
        </w:tc>
        <w:tc>
          <w:tcPr>
            <w:tcW w:type="dxa" w:w="2600"/>
            <w:tcMar>
              <w:top w:type="dxa" w:w="80"/>
              <w:left w:type="dxa" w:w="110"/>
              <w:bottom w:type="dxa" w:w="80"/>
              <w:right w:type="dxa" w:w="110"/>
            </w:tcMar>
            <w:vAlign w:val="center"/>
          </w:tcPr>
          <w:p>
            <w:r>
              <w:rPr>
                <w:rFonts w:ascii="Calibri" w:cs="Calibri" w:eastAsia="Calibri" w:hAnsi="Calibri"/>
                <w:color w:val="000000"/>
                <w:sz w:val="20"/>
                <w:szCs w:val="20"/>
              </w:rPr>
              <w:t xml:space="preserve">Incoming REST API contract validated (JSON spec), required fields (projectId, taskId, impactNotes) enforced, endpoint logic fully documented.</w:t>
            </w:r>
          </w:p>
        </w:tc>
      </w:tr>
      <w:tr>
        <w:tc>
          <w:tcPr>
            <w:tcW w:type="dxa" w:w="2400"/>
            <w:shd w:fill="E2EFDA" w:val="clear"/>
            <w:tcMar>
              <w:top w:type="dxa" w:w="80"/>
              <w:left w:type="dxa" w:w="110"/>
              <w:bottom w:type="dxa" w:w="80"/>
              <w:right w:type="dxa" w:w="110"/>
            </w:tcMar>
            <w:vAlign w:val="center"/>
          </w:tcPr>
          <w:p>
            <w:r>
              <w:rPr>
                <w:rFonts w:ascii="Calibri" w:cs="Calibri" w:eastAsia="Calibri" w:hAnsi="Calibri"/>
                <w:b/>
                <w:bCs/>
                <w:color w:val="000000"/>
                <w:sz w:val="20"/>
                <w:szCs w:val="20"/>
              </w:rPr>
              <w:t xml:space="preserve">C: Architects (Schema Mapping &amp; Logic Node C)</w:t>
            </w:r>
          </w:p>
        </w:tc>
        <w:tc>
          <w:tcPr>
            <w:tcW w:type="dxa" w:w="2100"/>
            <w:tcMar>
              <w:top w:type="dxa" w:w="80"/>
              <w:left w:type="dxa" w:w="110"/>
              <w:bottom w:type="dxa" w:w="80"/>
              <w:right w:type="dxa" w:w="110"/>
            </w:tcMar>
            <w:vAlign w:val="center"/>
          </w:tcPr>
          <w:p>
            <w:r>
              <w:rPr>
                <w:rFonts w:ascii="Calibri" w:cs="Calibri" w:eastAsia="Calibri" w:hAnsi="Calibri"/>
                <w:color w:val="000000"/>
                <w:sz w:val="20"/>
                <w:szCs w:val="20"/>
              </w:rPr>
              <w:t xml:space="preserve">Laurence Barcarse
Curlh Joseph Jordan Golez
Stephanie April Romo</w:t>
            </w:r>
          </w:p>
        </w:tc>
        <w:tc>
          <w:tcPr>
            <w:tcW w:type="dxa" w:w="2600"/>
            <w:tcMar>
              <w:top w:type="dxa" w:w="80"/>
              <w:left w:type="dxa" w:w="110"/>
              <w:bottom w:type="dxa" w:w="80"/>
              <w:right w:type="dxa" w:w="110"/>
            </w:tcMar>
            <w:vAlign w:val="center"/>
          </w:tcPr>
          <w:p>
            <w:r>
              <w:rPr>
                <w:rFonts w:ascii="Calibri" w:cs="Calibri" w:eastAsia="Calibri" w:hAnsi="Calibri"/>
                <w:color w:val="000000"/>
                <w:sz w:val="20"/>
                <w:szCs w:val="20"/>
              </w:rPr>
              <w:t xml:space="preserve">Part C: Transformation Logic &amp; Async Resiliency (15 pts)</w:t>
            </w:r>
          </w:p>
        </w:tc>
        <w:tc>
          <w:tcPr>
            <w:tcW w:type="dxa" w:w="2600"/>
            <w:tcMar>
              <w:top w:type="dxa" w:w="80"/>
              <w:left w:type="dxa" w:w="110"/>
              <w:bottom w:type="dxa" w:w="80"/>
              <w:right w:type="dxa" w:w="110"/>
            </w:tcMar>
            <w:vAlign w:val="center"/>
          </w:tcPr>
          <w:p>
            <w:r>
              <w:rPr>
                <w:rFonts w:ascii="Calibri" w:cs="Calibri" w:eastAsia="Calibri" w:hAnsi="Calibri"/>
                <w:color w:val="000000"/>
                <w:sz w:val="20"/>
                <w:szCs w:val="20"/>
              </w:rPr>
              <w:t xml:space="preserve">Field Mapping Matrix complete with correct casting; retry, DLQ, and idempotency-key logic implemented and demonstrated against failure scenarios.</w:t>
            </w:r>
          </w:p>
        </w:tc>
      </w:tr>
      <w:tr>
        <w:tc>
          <w:tcPr>
            <w:tcW w:type="dxa" w:w="2400"/>
            <w:shd w:fill="FFF2CC" w:val="clear"/>
            <w:tcMar>
              <w:top w:type="dxa" w:w="80"/>
              <w:left w:type="dxa" w:w="110"/>
              <w:bottom w:type="dxa" w:w="80"/>
              <w:right w:type="dxa" w:w="110"/>
            </w:tcMar>
            <w:vAlign w:val="center"/>
          </w:tcPr>
          <w:p>
            <w:r>
              <w:rPr>
                <w:rFonts w:ascii="Calibri" w:cs="Calibri" w:eastAsia="Calibri" w:hAnsi="Calibri"/>
                <w:b/>
                <w:bCs/>
                <w:color w:val="000000"/>
                <w:sz w:val="20"/>
                <w:szCs w:val="20"/>
              </w:rPr>
              <w:t xml:space="preserve">D: PM &amp; QA (Validation &amp; Timeline Node D)</w:t>
            </w:r>
          </w:p>
        </w:tc>
        <w:tc>
          <w:tcPr>
            <w:tcW w:type="dxa" w:w="2100"/>
            <w:tcMar>
              <w:top w:type="dxa" w:w="80"/>
              <w:left w:type="dxa" w:w="110"/>
              <w:bottom w:type="dxa" w:w="80"/>
              <w:right w:type="dxa" w:w="110"/>
            </w:tcMar>
            <w:vAlign w:val="center"/>
          </w:tcPr>
          <w:p>
            <w:r>
              <w:rPr>
                <w:rFonts w:ascii="Calibri" w:cs="Calibri" w:eastAsia="Calibri" w:hAnsi="Calibri"/>
                <w:color w:val="000000"/>
                <w:sz w:val="20"/>
                <w:szCs w:val="20"/>
              </w:rPr>
              <w:t xml:space="preserve">Mike Casaverde
Lanz Michael Casino</w:t>
            </w:r>
          </w:p>
        </w:tc>
        <w:tc>
          <w:tcPr>
            <w:tcW w:type="dxa" w:w="2600"/>
            <w:tcMar>
              <w:top w:type="dxa" w:w="80"/>
              <w:left w:type="dxa" w:w="110"/>
              <w:bottom w:type="dxa" w:w="80"/>
              <w:right w:type="dxa" w:w="110"/>
            </w:tcMar>
            <w:vAlign w:val="center"/>
          </w:tcPr>
          <w:p>
            <w:r>
              <w:rPr>
                <w:rFonts w:ascii="Calibri" w:cs="Calibri" w:eastAsia="Calibri" w:hAnsi="Calibri"/>
                <w:color w:val="000000"/>
                <w:sz w:val="20"/>
                <w:szCs w:val="20"/>
              </w:rPr>
              <w:t xml:space="preserve">Part D: Team Coordination &amp; KPI Definition (5 pts)</w:t>
            </w:r>
          </w:p>
        </w:tc>
        <w:tc>
          <w:tcPr>
            <w:tcW w:type="dxa" w:w="2600"/>
            <w:tcMar>
              <w:top w:type="dxa" w:w="80"/>
              <w:left w:type="dxa" w:w="110"/>
              <w:bottom w:type="dxa" w:w="80"/>
              <w:right w:type="dxa" w:w="110"/>
            </w:tcMar>
            <w:vAlign w:val="center"/>
          </w:tcPr>
          <w:p>
            <w:r>
              <w:rPr>
                <w:rFonts w:ascii="Calibri" w:cs="Calibri" w:eastAsia="Calibri" w:hAnsi="Calibri"/>
                <w:color w:val="000000"/>
                <w:sz w:val="20"/>
                <w:szCs w:val="20"/>
              </w:rPr>
              <w:t xml:space="preserve">3+ KPIs defined, 3-point milestone timeline completed, final validation check confirms functional design across A, B, and C.</w:t>
            </w:r>
          </w:p>
        </w:tc>
      </w:tr>
    </w:tbl>
    <w:p>
      <w:pPr>
        <w:pBdr>
          <w:top w:val="single" w:color="999999" w:sz="6"/>
        </w:pBdr>
        <w:spacing w:before="300"/>
      </w:pPr>
    </w:p>
    <w:p>
      <w:pPr>
        <w:spacing w:before="120"/>
        <w:jc w:val="center"/>
      </w:pPr>
      <w:r>
        <w:rPr>
          <w:rFonts w:ascii="Calibri" w:cs="Calibri" w:eastAsia="Calibri" w:hAnsi="Calibri"/>
          <w:b/>
          <w:bCs/>
          <w:sz w:val="21"/>
          <w:szCs w:val="21"/>
        </w:rPr>
        <w:t xml:space="preserve">ITEC 116 – System Integration and Architecture</w:t>
      </w:r>
    </w:p>
    <w:p>
      <w:pPr>
        <w:spacing w:after="60"/>
        <w:jc w:val="center"/>
      </w:pPr>
      <w:r>
        <w:rPr>
          <w:rFonts w:ascii="Calibri" w:cs="Calibri" w:eastAsia="Calibri" w:hAnsi="Calibri"/>
          <w:b/>
          <w:bCs/>
          <w:sz w:val="21"/>
          <w:szCs w:val="21"/>
        </w:rPr>
        <w:t xml:space="preserve">Group Activity 5: Execution &amp; Implementation (Code Base Continuation)</w:t>
      </w:r>
    </w:p>
    <w:p>
      <w:pPr>
        <w:jc w:val="center"/>
      </w:pPr>
      <w:r>
        <w:rPr>
          <w:rFonts w:ascii="Calibri" w:cs="Calibri" w:eastAsia="Calibri" w:hAnsi="Calibri"/>
          <w:sz w:val="21"/>
          <w:szCs w:val="21"/>
        </w:rPr>
        <w:t xml:space="preserve">Section: BSIT-3A       Group Number: 2</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2026-09-23T04:55:46.866Z</dcterms:created>
  <dcterms:modified xsi:type="dcterms:W3CDTF">2026-09-23T04:55:46.875Z</dcterms:modified>
</cp:coreProperties>
</file>

<file path=docProps/custom.xml><?xml version="1.0" encoding="utf-8"?>
<Properties xmlns="http://schemas.openxmlformats.org/officeDocument/2006/custom-properties" xmlns:vt="http://schemas.openxmlformats.org/officeDocument/2006/docPropsVTypes"/>
</file>