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cstheme="minorBidi"/>
          <w:b w:val="0"/>
          <w:bCs w:val="0"/>
          <w:color w:val="auto"/>
          <w:sz w:val="20"/>
          <w:szCs w:val="22"/>
        </w:rPr>
        <w:id w:val="-1363737040"/>
        <w:docPartObj>
          <w:docPartGallery w:val="Bibliographies"/>
          <w:docPartUnique/>
        </w:docPartObj>
      </w:sdtPr>
      <w:sdtEndPr/>
      <w:sdtContent>
        <w:p w14:paraId="176AC52B" w14:textId="434BABA0" w:rsidR="0086633B" w:rsidRDefault="00DB202A" w:rsidP="0084058C">
          <w:pPr>
            <w:pStyle w:val="Heading1"/>
            <w:pBdr>
              <w:bottom w:val="none" w:sz="0" w:space="0" w:color="auto"/>
            </w:pBdr>
          </w:pPr>
          <w:r w:rsidRPr="00126C7A">
            <w:rPr>
              <w:w w:val="105"/>
              <w:szCs w:val="20"/>
            </w:rPr>
            <w:t>Software Engineering</w:t>
          </w:r>
          <w:r>
            <w:rPr>
              <w:w w:val="105"/>
              <w:szCs w:val="20"/>
            </w:rPr>
            <w:t xml:space="preserve"> 11–12</w:t>
          </w:r>
          <w:r w:rsidR="00B05C8D">
            <w:rPr>
              <w:w w:val="105"/>
              <w:szCs w:val="20"/>
            </w:rPr>
            <w:t xml:space="preserve"> (2022)</w:t>
          </w:r>
          <w:r>
            <w:rPr>
              <w:w w:val="105"/>
              <w:szCs w:val="20"/>
            </w:rPr>
            <w:t xml:space="preserve">: </w:t>
          </w:r>
          <w:r w:rsidR="001C07BA">
            <w:t>Bibliography</w:t>
          </w:r>
        </w:p>
        <w:sdt>
          <w:sdtPr>
            <w:id w:val="-573587230"/>
            <w:bibliography/>
          </w:sdtPr>
          <w:sdtEndPr/>
          <w:sdtContent>
            <w:p w14:paraId="1B10B237" w14:textId="6853E84A" w:rsidR="0086633B" w:rsidRDefault="0086633B" w:rsidP="0086633B">
              <w:pPr>
                <w:pStyle w:val="Bibliography"/>
                <w:rPr>
                  <w:noProof/>
                  <w:sz w:val="24"/>
                  <w:szCs w:val="24"/>
                </w:rPr>
              </w:pPr>
              <w:r>
                <w:rPr>
                  <w:noProof/>
                </w:rPr>
                <w:t xml:space="preserve">Anazifa R and Djukri D (2017) 'Project-Based Learning and Problem-Based Learning: Are They Effective to Improve Student's Thinking Skills', </w:t>
              </w:r>
              <w:r>
                <w:rPr>
                  <w:i/>
                  <w:iCs/>
                  <w:noProof/>
                </w:rPr>
                <w:t>Jurnal Pendidikan IPA Indonesia</w:t>
              </w:r>
              <w:r>
                <w:rPr>
                  <w:noProof/>
                </w:rPr>
                <w:t>, 6(2):346–355, doi:10.15294/jpii.v6i2.11100.</w:t>
              </w:r>
            </w:p>
            <w:p w14:paraId="6A91A040" w14:textId="07BEA4CD" w:rsidR="0086633B" w:rsidRDefault="0086633B" w:rsidP="0086633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Australian Government (2005) The </w:t>
              </w:r>
              <w:r w:rsidRPr="00B83C64">
                <w:rPr>
                  <w:i/>
                  <w:iCs/>
                  <w:noProof/>
                </w:rPr>
                <w:t>Disability Standards for Education 2005</w:t>
              </w:r>
              <w:r>
                <w:rPr>
                  <w:noProof/>
                </w:rPr>
                <w:t xml:space="preserve">, </w:t>
              </w:r>
              <w:r w:rsidR="00B83C64">
                <w:rPr>
                  <w:noProof/>
                </w:rPr>
                <w:t xml:space="preserve">Department of Education and the Department of Employment and Workplace Relations website, </w:t>
              </w:r>
              <w:r>
                <w:rPr>
                  <w:noProof/>
                </w:rPr>
                <w:t xml:space="preserve">accessed 9 March 2022. </w:t>
              </w:r>
              <w:hyperlink r:id="rId8" w:tgtFrame="_blank" w:tooltip="https://aus01.safelinks.protection.outlook.com/?url=https%3A%2F%2Fwww.education.gov.au%2Fdisability-standards-education-2005&amp;data=05%7C01%7CJoanna.Pramudia%40nesa.nsw.edu.au%7C339604dff5044ea2b33208dbe564c223%7Cce7ea3f23d76459ab733e55eec732b0b%7C0%7C0%7C638355" w:history="1">
                <w:r w:rsidR="00DB202A">
                  <w:rPr>
                    <w:rStyle w:val="Hyperlink"/>
                  </w:rPr>
                  <w:t>https://www.education.gov.au/disability-standards-education-2005</w:t>
                </w:r>
              </w:hyperlink>
            </w:p>
            <w:p w14:paraId="6FBDA0E5" w14:textId="77777777" w:rsidR="0086633B" w:rsidRDefault="0086633B" w:rsidP="0086633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Connolly R, Lunt B, Miller J and Powell L (2015) 'Towards a Better Understanding of the Different Computing Disciplines' [conference proceedings], </w:t>
              </w:r>
              <w:r>
                <w:rPr>
                  <w:i/>
                  <w:iCs/>
                  <w:noProof/>
                </w:rPr>
                <w:t>16th Annual Conference on Information Technology Education (SIGITE '15)</w:t>
              </w:r>
              <w:r>
                <w:rPr>
                  <w:noProof/>
                </w:rPr>
                <w:t>, New York, NY, USA.</w:t>
              </w:r>
            </w:p>
            <w:p w14:paraId="58D275BD" w14:textId="77777777" w:rsidR="0086633B" w:rsidRDefault="0086633B" w:rsidP="0086633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Deloitte (2017) </w:t>
              </w:r>
              <w:r>
                <w:rPr>
                  <w:i/>
                  <w:iCs/>
                  <w:noProof/>
                </w:rPr>
                <w:t>To code or not to code, is that the question?</w:t>
              </w:r>
              <w:r>
                <w:rPr>
                  <w:noProof/>
                </w:rPr>
                <w:t xml:space="preserve">, Deloitte Website, accessed 4 June 2019. </w:t>
              </w:r>
              <w:r w:rsidRPr="00DB202A">
                <w:rPr>
                  <w:rStyle w:val="Hyperlink"/>
                </w:rPr>
                <w:t>https://www2.deloitte.com/content/dam/Deloitte/au/Documents/public-sector/deloitte-au-ps-to-code-or-not-to-code-is-that-the-question-080118.pdf</w:t>
              </w:r>
            </w:p>
            <w:p w14:paraId="1CFBB9F1" w14:textId="379D7246" w:rsidR="0086633B" w:rsidRDefault="0086633B" w:rsidP="0086633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Education Council (2015) </w:t>
              </w:r>
              <w:r w:rsidR="0067125E">
                <w:rPr>
                  <w:i/>
                  <w:iCs/>
                  <w:noProof/>
                </w:rPr>
                <w:t xml:space="preserve">National </w:t>
              </w:r>
              <w:r>
                <w:rPr>
                  <w:i/>
                  <w:iCs/>
                  <w:noProof/>
                </w:rPr>
                <w:t xml:space="preserve">STEM </w:t>
              </w:r>
              <w:r w:rsidR="0067125E">
                <w:rPr>
                  <w:i/>
                  <w:iCs/>
                  <w:noProof/>
                </w:rPr>
                <w:t>School Education Strategy</w:t>
              </w:r>
              <w:r>
                <w:rPr>
                  <w:noProof/>
                </w:rPr>
                <w:t>, Education Council, Australian Government.</w:t>
              </w:r>
            </w:p>
            <w:p w14:paraId="319D874F" w14:textId="4CFC28AF" w:rsidR="00FD381A" w:rsidRPr="00FD381A" w:rsidRDefault="00FD381A" w:rsidP="00FD381A">
              <w:r>
                <w:t>——</w:t>
              </w:r>
              <w:r w:rsidRPr="00FD381A">
                <w:t xml:space="preserve"> (2019) </w:t>
              </w:r>
              <w:r w:rsidRPr="00FD381A">
                <w:rPr>
                  <w:i/>
                  <w:iCs/>
                </w:rPr>
                <w:t>The Alice Springs (</w:t>
              </w:r>
              <w:proofErr w:type="spellStart"/>
              <w:r w:rsidRPr="00FD381A">
                <w:rPr>
                  <w:i/>
                  <w:iCs/>
                </w:rPr>
                <w:t>Mparntwe</w:t>
              </w:r>
              <w:proofErr w:type="spellEnd"/>
              <w:r w:rsidRPr="00FD381A">
                <w:rPr>
                  <w:i/>
                  <w:iCs/>
                </w:rPr>
                <w:t>) education declaration</w:t>
              </w:r>
              <w:r w:rsidRPr="00FD381A">
                <w:t>, Department of Education website, accessed</w:t>
              </w:r>
              <w:r>
                <w:t xml:space="preserve"> 9 March 2022</w:t>
              </w:r>
              <w:r w:rsidRPr="00FD381A">
                <w:t xml:space="preserve">. </w:t>
              </w:r>
              <w:hyperlink r:id="rId9" w:history="1">
                <w:r w:rsidRPr="00FD381A">
                  <w:rPr>
                    <w:rStyle w:val="Hyperlink"/>
                  </w:rPr>
                  <w:t>https://www.education.gov.au/alice-springs-mparntwe-education-declaration</w:t>
                </w:r>
              </w:hyperlink>
            </w:p>
            <w:p w14:paraId="001903B5" w14:textId="77777777" w:rsidR="0086633B" w:rsidRDefault="0086633B" w:rsidP="0086633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FYA (Foundation for Young Australians) (2017) </w:t>
              </w:r>
              <w:r>
                <w:rPr>
                  <w:i/>
                  <w:iCs/>
                  <w:noProof/>
                </w:rPr>
                <w:t>THE NEW WORK SMARTS: Thriving in the New Work Order</w:t>
              </w:r>
              <w:r>
                <w:rPr>
                  <w:noProof/>
                </w:rPr>
                <w:t>, Foundation for Young Australians.</w:t>
              </w:r>
            </w:p>
            <w:p w14:paraId="5AAFF039" w14:textId="77777777" w:rsidR="0086633B" w:rsidRDefault="0086633B" w:rsidP="0086633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Grandell L, Peltomäki M, Back RJ and Salakoski T (2006) 'Why complicate things? Introducing programming in high school using Python' [conference proceedings], </w:t>
              </w:r>
              <w:r>
                <w:rPr>
                  <w:i/>
                  <w:iCs/>
                  <w:noProof/>
                </w:rPr>
                <w:t>The 8th Australasian Conference on Computing Education</w:t>
              </w:r>
              <w:r>
                <w:rPr>
                  <w:noProof/>
                </w:rPr>
                <w:t>.</w:t>
              </w:r>
            </w:p>
            <w:p w14:paraId="2A9FA0C3" w14:textId="77777777" w:rsidR="0086633B" w:rsidRDefault="0086633B" w:rsidP="0086633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Heersink H and Moskal B (2010) 'Measuring high school students' attitudes toward computing' [conference proceedings], </w:t>
              </w:r>
              <w:r>
                <w:rPr>
                  <w:i/>
                  <w:iCs/>
                  <w:noProof/>
                </w:rPr>
                <w:t>The 41st ACM technical symposium on Computer science education (SIGCSE '10)</w:t>
              </w:r>
              <w:r>
                <w:rPr>
                  <w:noProof/>
                </w:rPr>
                <w:t>, New York, NY, USA.</w:t>
              </w:r>
            </w:p>
            <w:p w14:paraId="48E72916" w14:textId="77777777" w:rsidR="0086633B" w:rsidRDefault="0086633B" w:rsidP="0086633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ITEEA (International Technology and Engineering Educators Association) </w:t>
              </w:r>
              <w:r>
                <w:rPr>
                  <w:i/>
                  <w:iCs/>
                  <w:noProof/>
                </w:rPr>
                <w:t>Technological and Engineering Literacy: An Educational Imperative</w:t>
              </w:r>
              <w:r>
                <w:rPr>
                  <w:noProof/>
                </w:rPr>
                <w:t xml:space="preserve">, ITEEA website, accessed 22 June 2021. </w:t>
              </w:r>
              <w:r w:rsidRPr="00DB202A">
                <w:rPr>
                  <w:rStyle w:val="Hyperlink"/>
                </w:rPr>
                <w:t>https://www.iteea.org/File.aspx?id=179872&amp;v=45982a97&amp;source=generalSearch</w:t>
              </w:r>
            </w:p>
            <w:p w14:paraId="67201F6F" w14:textId="77777777" w:rsidR="0086633B" w:rsidRDefault="0086633B" w:rsidP="0086633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K–12 Computer Science Framework Steering Committee </w:t>
              </w:r>
              <w:r>
                <w:rPr>
                  <w:i/>
                  <w:iCs/>
                  <w:noProof/>
                </w:rPr>
                <w:t>K–12 Computing Science Framework</w:t>
              </w:r>
              <w:r>
                <w:rPr>
                  <w:noProof/>
                </w:rPr>
                <w:t xml:space="preserve">, K12CS website, accessed 29 June 2018. </w:t>
              </w:r>
              <w:r w:rsidRPr="00DB202A">
                <w:rPr>
                  <w:rStyle w:val="Hyperlink"/>
                </w:rPr>
                <w:t>https://k12cs.org/wp-content/uploads/2016/09/K–12-Computer-Science-Framework.pdf</w:t>
              </w:r>
            </w:p>
            <w:p w14:paraId="5662DB7C" w14:textId="77777777" w:rsidR="0086633B" w:rsidRDefault="0086633B" w:rsidP="0086633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Lapuz AME and Fugencio MN (2020) 'Improving the critical thinking skills of secondary school students using problem-based learning', </w:t>
              </w:r>
              <w:r>
                <w:rPr>
                  <w:i/>
                  <w:iCs/>
                  <w:noProof/>
                </w:rPr>
                <w:t>International Journal of Academic Multidisciplinary Research (IJAMR)</w:t>
              </w:r>
              <w:r>
                <w:rPr>
                  <w:noProof/>
                </w:rPr>
                <w:t xml:space="preserve">, </w:t>
              </w:r>
              <w:r>
                <w:rPr>
                  <w:noProof/>
                </w:rPr>
                <w:lastRenderedPageBreak/>
                <w:t>4(1):1–7.</w:t>
              </w:r>
            </w:p>
            <w:p w14:paraId="298B0F0C" w14:textId="77777777" w:rsidR="0086633B" w:rsidRDefault="0086633B" w:rsidP="0086633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NESA (NSW Education Standards Authority) </w:t>
              </w:r>
              <w:r>
                <w:rPr>
                  <w:i/>
                  <w:iCs/>
                  <w:noProof/>
                </w:rPr>
                <w:t>Statement of Equity Principles</w:t>
              </w:r>
              <w:r>
                <w:rPr>
                  <w:noProof/>
                </w:rPr>
                <w:t xml:space="preserve">, NESA website, accessed 9 March 2022. </w:t>
              </w:r>
              <w:r w:rsidRPr="00DB202A">
                <w:rPr>
                  <w:rStyle w:val="Hyperlink"/>
                </w:rPr>
                <w:t>https://educationstandards.nsw.edu.au/wps/portal/nesa/k-10/understanding-the-curriculum/curriculum-development/syllabus-development-process/equity-principles</w:t>
              </w:r>
            </w:p>
            <w:p w14:paraId="56CD0185" w14:textId="77777777" w:rsidR="0086633B" w:rsidRDefault="0086633B" w:rsidP="0086633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NSW Department of Education (017) </w:t>
              </w:r>
              <w:r>
                <w:rPr>
                  <w:i/>
                  <w:iCs/>
                  <w:noProof/>
                </w:rPr>
                <w:t>EDUCATION: FUTURE FRONTIERS Discussion Paper 2 Opportunities and challenges for education</w:t>
              </w:r>
              <w:r>
                <w:rPr>
                  <w:noProof/>
                </w:rPr>
                <w:t>, NSW Department of Education.</w:t>
              </w:r>
            </w:p>
            <w:p w14:paraId="11C03412" w14:textId="77777777" w:rsidR="0086633B" w:rsidRDefault="0086633B" w:rsidP="0086633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Sterling L (2016) 'Coding in the curriculum: Fad or foundational?' [conference proceedings], </w:t>
              </w:r>
              <w:r>
                <w:rPr>
                  <w:i/>
                  <w:iCs/>
                  <w:noProof/>
                </w:rPr>
                <w:t>Research Conference 2016 – Improving STEM Learning: What will it take?</w:t>
              </w:r>
            </w:p>
            <w:p w14:paraId="159A4778" w14:textId="77777777" w:rsidR="0086633B" w:rsidRDefault="0086633B" w:rsidP="0086633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Terada Y (2021) </w:t>
              </w:r>
              <w:r>
                <w:rPr>
                  <w:i/>
                  <w:iCs/>
                  <w:noProof/>
                </w:rPr>
                <w:t>New Research Makes a Powerful Case for PBL</w:t>
              </w:r>
              <w:r>
                <w:rPr>
                  <w:noProof/>
                </w:rPr>
                <w:t xml:space="preserve">, Edutopia, accessed 14 April 2021. </w:t>
              </w:r>
              <w:r w:rsidRPr="00DB202A">
                <w:rPr>
                  <w:rStyle w:val="Hyperlink"/>
                </w:rPr>
                <w:t>https://www.edutopia.org/article/new-research-makes-powerful-case-pbl</w:t>
              </w:r>
            </w:p>
            <w:p w14:paraId="5AB49185" w14:textId="77777777" w:rsidR="0086633B" w:rsidRDefault="0086633B" w:rsidP="0086633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The Royal Society (2017) </w:t>
              </w:r>
              <w:r>
                <w:rPr>
                  <w:i/>
                  <w:iCs/>
                  <w:noProof/>
                </w:rPr>
                <w:t>After the reboot: computing education in UK schools</w:t>
              </w:r>
              <w:r>
                <w:rPr>
                  <w:noProof/>
                </w:rPr>
                <w:t>, The Royal Society.</w:t>
              </w:r>
            </w:p>
            <w:p w14:paraId="5C3F8DBB" w14:textId="77777777" w:rsidR="0086633B" w:rsidRDefault="0086633B" w:rsidP="0086633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Thomson S (2015) </w:t>
              </w:r>
              <w:r>
                <w:rPr>
                  <w:i/>
                  <w:iCs/>
                  <w:noProof/>
                </w:rPr>
                <w:t>Australian Students in a Digital World</w:t>
              </w:r>
              <w:r>
                <w:rPr>
                  <w:noProof/>
                </w:rPr>
                <w:t xml:space="preserve">, Policy Insights, Issue 3, ACER. </w:t>
              </w:r>
              <w:r w:rsidRPr="00DB202A">
                <w:rPr>
                  <w:rStyle w:val="Hyperlink"/>
                </w:rPr>
                <w:t>https://research.acer.edu.au/cgi/viewcontent.cgi?article=1002&amp;context=policyinsights</w:t>
              </w:r>
            </w:p>
            <w:p w14:paraId="0D2D26CA" w14:textId="77777777" w:rsidR="0086633B" w:rsidRDefault="0086633B" w:rsidP="0086633B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Wing J (2006) </w:t>
              </w:r>
              <w:r>
                <w:rPr>
                  <w:i/>
                  <w:iCs/>
                  <w:noProof/>
                </w:rPr>
                <w:t>Computational Thinking</w:t>
              </w:r>
              <w:r>
                <w:rPr>
                  <w:noProof/>
                </w:rPr>
                <w:t>, Communications of the ACM.</w:t>
              </w:r>
            </w:p>
            <w:p w14:paraId="688EE48B" w14:textId="09621EFF" w:rsidR="002E3BFE" w:rsidRPr="002E3BFE" w:rsidRDefault="00492A12" w:rsidP="002E3BFE"/>
          </w:sdtContent>
        </w:sdt>
      </w:sdtContent>
    </w:sdt>
    <w:sectPr w:rsidR="002E3BFE" w:rsidRPr="002E3BFE" w:rsidSect="00DB202A"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FB0478" w14:textId="77777777" w:rsidR="009278FC" w:rsidRDefault="009278FC" w:rsidP="0084058C">
      <w:pPr>
        <w:spacing w:after="0" w:line="240" w:lineRule="auto"/>
      </w:pPr>
      <w:r>
        <w:separator/>
      </w:r>
    </w:p>
  </w:endnote>
  <w:endnote w:type="continuationSeparator" w:id="0">
    <w:p w14:paraId="03197121" w14:textId="77777777" w:rsidR="009278FC" w:rsidRDefault="009278FC" w:rsidP="00840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817BD0" w14:textId="69329229" w:rsidR="00DB202A" w:rsidRPr="00FC043E" w:rsidRDefault="00DB202A" w:rsidP="00DB202A">
    <w:pPr>
      <w:pBdr>
        <w:top w:val="single" w:sz="4" w:space="1" w:color="auto"/>
      </w:pBdr>
      <w:tabs>
        <w:tab w:val="right" w:pos="9027"/>
      </w:tabs>
      <w:spacing w:after="0"/>
      <w:rPr>
        <w:rFonts w:cs="Arial"/>
        <w:b/>
        <w:color w:val="002664"/>
        <w:sz w:val="18"/>
        <w:szCs w:val="12"/>
      </w:rPr>
    </w:pPr>
    <w:r w:rsidRPr="00FC043E">
      <w:rPr>
        <w:rFonts w:cs="Arial"/>
        <w:color w:val="002664"/>
        <w:sz w:val="18"/>
        <w:szCs w:val="12"/>
      </w:rPr>
      <w:br/>
    </w:r>
    <w:sdt>
      <w:sdtPr>
        <w:rPr>
          <w:rFonts w:cs="Arial"/>
          <w:color w:val="002664"/>
          <w:sz w:val="18"/>
          <w:szCs w:val="20"/>
          <w:lang w:eastAsia="en-AU"/>
        </w:rPr>
        <w:alias w:val="Title"/>
        <w:tag w:val=""/>
        <w:id w:val="-1100018264"/>
        <w:placeholder>
          <w:docPart w:val="9F8C606E65B74BC2A740736F51953D5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05C8D">
          <w:rPr>
            <w:rFonts w:cs="Arial"/>
            <w:color w:val="002664"/>
            <w:sz w:val="18"/>
            <w:szCs w:val="20"/>
            <w:lang w:eastAsia="en-AU"/>
          </w:rPr>
          <w:t>Software Engineering 11–12 (2022): Bibliography</w:t>
        </w:r>
      </w:sdtContent>
    </w:sdt>
    <w:r w:rsidRPr="00FC043E">
      <w:rPr>
        <w:rFonts w:cs="Arial"/>
        <w:color w:val="002664"/>
        <w:sz w:val="18"/>
        <w:szCs w:val="12"/>
      </w:rPr>
      <w:tab/>
      <w:t xml:space="preserve">Page </w:t>
    </w:r>
    <w:r w:rsidRPr="00FC043E">
      <w:rPr>
        <w:rFonts w:cs="Arial"/>
        <w:b/>
        <w:color w:val="002664"/>
        <w:sz w:val="18"/>
        <w:szCs w:val="12"/>
      </w:rPr>
      <w:fldChar w:fldCharType="begin"/>
    </w:r>
    <w:r w:rsidRPr="00FC043E">
      <w:rPr>
        <w:rFonts w:cs="Arial"/>
        <w:b/>
        <w:color w:val="002664"/>
        <w:sz w:val="18"/>
        <w:szCs w:val="12"/>
      </w:rPr>
      <w:instrText xml:space="preserve"> PAGE  \* Arabic  \* MERGEFORMAT </w:instrText>
    </w:r>
    <w:r w:rsidRPr="00FC043E">
      <w:rPr>
        <w:rFonts w:cs="Arial"/>
        <w:b/>
        <w:color w:val="002664"/>
        <w:sz w:val="18"/>
        <w:szCs w:val="12"/>
      </w:rPr>
      <w:fldChar w:fldCharType="separate"/>
    </w:r>
    <w:r>
      <w:rPr>
        <w:rFonts w:cs="Arial"/>
        <w:b/>
        <w:color w:val="002664"/>
        <w:sz w:val="18"/>
        <w:szCs w:val="12"/>
      </w:rPr>
      <w:t>1</w:t>
    </w:r>
    <w:r w:rsidRPr="00FC043E">
      <w:rPr>
        <w:rFonts w:cs="Arial"/>
        <w:b/>
        <w:color w:val="002664"/>
        <w:sz w:val="18"/>
        <w:szCs w:val="12"/>
      </w:rPr>
      <w:fldChar w:fldCharType="end"/>
    </w:r>
    <w:r w:rsidRPr="00FC043E">
      <w:rPr>
        <w:rFonts w:cs="Arial"/>
        <w:color w:val="002664"/>
        <w:sz w:val="18"/>
        <w:szCs w:val="12"/>
      </w:rPr>
      <w:t xml:space="preserve"> of </w:t>
    </w:r>
    <w:r w:rsidRPr="00FC043E">
      <w:rPr>
        <w:rFonts w:cs="Arial"/>
        <w:b/>
        <w:color w:val="002664"/>
        <w:sz w:val="18"/>
        <w:szCs w:val="12"/>
      </w:rPr>
      <w:fldChar w:fldCharType="begin"/>
    </w:r>
    <w:r w:rsidRPr="00FC043E">
      <w:rPr>
        <w:rFonts w:cs="Arial"/>
        <w:b/>
        <w:color w:val="002664"/>
        <w:sz w:val="18"/>
        <w:szCs w:val="12"/>
      </w:rPr>
      <w:instrText xml:space="preserve"> NUMPAGES  \* Arabic  \* MERGEFORMAT </w:instrText>
    </w:r>
    <w:r w:rsidRPr="00FC043E">
      <w:rPr>
        <w:rFonts w:cs="Arial"/>
        <w:b/>
        <w:color w:val="002664"/>
        <w:sz w:val="18"/>
        <w:szCs w:val="12"/>
      </w:rPr>
      <w:fldChar w:fldCharType="separate"/>
    </w:r>
    <w:r>
      <w:rPr>
        <w:rFonts w:cs="Arial"/>
        <w:b/>
        <w:color w:val="002664"/>
        <w:sz w:val="18"/>
        <w:szCs w:val="12"/>
      </w:rPr>
      <w:t>2</w:t>
    </w:r>
    <w:r w:rsidRPr="00FC043E">
      <w:rPr>
        <w:rFonts w:cs="Arial"/>
        <w:b/>
        <w:color w:val="002664"/>
        <w:sz w:val="18"/>
        <w:szCs w:val="1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32FF52" w14:textId="32BE56B6" w:rsidR="00DB202A" w:rsidRDefault="00DB202A" w:rsidP="00DB202A">
    <w:pPr>
      <w:pBdr>
        <w:top w:val="single" w:sz="4" w:space="1" w:color="auto"/>
      </w:pBdr>
      <w:tabs>
        <w:tab w:val="right" w:pos="9027"/>
      </w:tabs>
      <w:spacing w:after="0"/>
      <w:rPr>
        <w:rFonts w:cs="Arial"/>
        <w:b/>
        <w:color w:val="002664"/>
        <w:sz w:val="18"/>
        <w:szCs w:val="12"/>
      </w:rPr>
    </w:pPr>
    <w:r w:rsidRPr="00FC043E">
      <w:rPr>
        <w:rFonts w:cs="Arial"/>
        <w:color w:val="002664"/>
        <w:sz w:val="18"/>
        <w:szCs w:val="12"/>
      </w:rPr>
      <w:br/>
    </w:r>
    <w:sdt>
      <w:sdtPr>
        <w:rPr>
          <w:rFonts w:cs="Arial"/>
          <w:color w:val="002664"/>
          <w:sz w:val="18"/>
          <w:szCs w:val="20"/>
          <w:lang w:eastAsia="en-AU"/>
        </w:rPr>
        <w:alias w:val="Title"/>
        <w:tag w:val=""/>
        <w:id w:val="-700314948"/>
        <w:placeholder>
          <w:docPart w:val="9ED22E8E7727484C9B9D858BF84055B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1258F">
          <w:rPr>
            <w:rFonts w:cs="Arial"/>
            <w:color w:val="002664"/>
            <w:sz w:val="18"/>
            <w:szCs w:val="20"/>
            <w:lang w:eastAsia="en-AU"/>
          </w:rPr>
          <w:t>Software Engineering 11–12</w:t>
        </w:r>
        <w:r w:rsidR="00B05C8D">
          <w:rPr>
            <w:rFonts w:cs="Arial"/>
            <w:color w:val="002664"/>
            <w:sz w:val="18"/>
            <w:szCs w:val="20"/>
            <w:lang w:eastAsia="en-AU"/>
          </w:rPr>
          <w:t xml:space="preserve"> (2022)</w:t>
        </w:r>
        <w:r w:rsidR="0031258F">
          <w:rPr>
            <w:rFonts w:cs="Arial"/>
            <w:color w:val="002664"/>
            <w:sz w:val="18"/>
            <w:szCs w:val="20"/>
            <w:lang w:eastAsia="en-AU"/>
          </w:rPr>
          <w:t>: Bibliography</w:t>
        </w:r>
      </w:sdtContent>
    </w:sdt>
    <w:r w:rsidRPr="00FC043E">
      <w:rPr>
        <w:rFonts w:cs="Arial"/>
        <w:color w:val="002664"/>
        <w:sz w:val="18"/>
        <w:szCs w:val="12"/>
      </w:rPr>
      <w:tab/>
      <w:t xml:space="preserve">Page </w:t>
    </w:r>
    <w:r w:rsidRPr="00FC043E">
      <w:rPr>
        <w:rFonts w:cs="Arial"/>
        <w:b/>
        <w:color w:val="002664"/>
        <w:sz w:val="18"/>
        <w:szCs w:val="12"/>
      </w:rPr>
      <w:fldChar w:fldCharType="begin"/>
    </w:r>
    <w:r w:rsidRPr="00FC043E">
      <w:rPr>
        <w:rFonts w:cs="Arial"/>
        <w:b/>
        <w:color w:val="002664"/>
        <w:sz w:val="18"/>
        <w:szCs w:val="12"/>
      </w:rPr>
      <w:instrText xml:space="preserve"> PAGE  \* Arabic  \* MERGEFORMAT </w:instrText>
    </w:r>
    <w:r w:rsidRPr="00FC043E">
      <w:rPr>
        <w:rFonts w:cs="Arial"/>
        <w:b/>
        <w:color w:val="002664"/>
        <w:sz w:val="18"/>
        <w:szCs w:val="12"/>
      </w:rPr>
      <w:fldChar w:fldCharType="separate"/>
    </w:r>
    <w:r>
      <w:rPr>
        <w:rFonts w:cs="Arial"/>
        <w:b/>
        <w:color w:val="002664"/>
        <w:sz w:val="18"/>
        <w:szCs w:val="12"/>
      </w:rPr>
      <w:t>1</w:t>
    </w:r>
    <w:r w:rsidRPr="00FC043E">
      <w:rPr>
        <w:rFonts w:cs="Arial"/>
        <w:b/>
        <w:color w:val="002664"/>
        <w:sz w:val="18"/>
        <w:szCs w:val="12"/>
      </w:rPr>
      <w:fldChar w:fldCharType="end"/>
    </w:r>
    <w:r w:rsidRPr="00FC043E">
      <w:rPr>
        <w:rFonts w:cs="Arial"/>
        <w:color w:val="002664"/>
        <w:sz w:val="18"/>
        <w:szCs w:val="12"/>
      </w:rPr>
      <w:t xml:space="preserve"> of </w:t>
    </w:r>
    <w:r w:rsidRPr="00FC043E">
      <w:rPr>
        <w:rFonts w:cs="Arial"/>
        <w:b/>
        <w:color w:val="002664"/>
        <w:sz w:val="18"/>
        <w:szCs w:val="12"/>
      </w:rPr>
      <w:fldChar w:fldCharType="begin"/>
    </w:r>
    <w:r w:rsidRPr="00FC043E">
      <w:rPr>
        <w:rFonts w:cs="Arial"/>
        <w:b/>
        <w:color w:val="002664"/>
        <w:sz w:val="18"/>
        <w:szCs w:val="12"/>
      </w:rPr>
      <w:instrText xml:space="preserve"> NUMPAGES  \* Arabic  \* MERGEFORMAT </w:instrText>
    </w:r>
    <w:r w:rsidRPr="00FC043E">
      <w:rPr>
        <w:rFonts w:cs="Arial"/>
        <w:b/>
        <w:color w:val="002664"/>
        <w:sz w:val="18"/>
        <w:szCs w:val="12"/>
      </w:rPr>
      <w:fldChar w:fldCharType="separate"/>
    </w:r>
    <w:r>
      <w:rPr>
        <w:rFonts w:cs="Arial"/>
        <w:b/>
        <w:color w:val="002664"/>
        <w:sz w:val="18"/>
        <w:szCs w:val="12"/>
      </w:rPr>
      <w:t>7</w:t>
    </w:r>
    <w:r w:rsidRPr="00FC043E">
      <w:rPr>
        <w:rFonts w:cs="Arial"/>
        <w:b/>
        <w:color w:val="002664"/>
        <w:sz w:val="18"/>
        <w:szCs w:val="12"/>
      </w:rPr>
      <w:fldChar w:fldCharType="end"/>
    </w:r>
  </w:p>
  <w:p w14:paraId="1300CE0F" w14:textId="77777777" w:rsidR="00DB202A" w:rsidRDefault="00DB202A" w:rsidP="00DB202A">
    <w:pPr>
      <w:pBdr>
        <w:top w:val="single" w:sz="4" w:space="1" w:color="auto"/>
      </w:pBdr>
      <w:tabs>
        <w:tab w:val="right" w:pos="9027"/>
      </w:tabs>
      <w:spacing w:after="0"/>
      <w:rPr>
        <w:rFonts w:cs="Arial"/>
        <w:b/>
        <w:color w:val="002664"/>
        <w:sz w:val="8"/>
        <w:szCs w:val="8"/>
      </w:rPr>
    </w:pPr>
  </w:p>
  <w:p w14:paraId="5D0F3102" w14:textId="2B72B2D7" w:rsidR="00DB202A" w:rsidRPr="00D45931" w:rsidRDefault="00DB202A" w:rsidP="00DB202A">
    <w:pPr>
      <w:pBdr>
        <w:top w:val="single" w:sz="4" w:space="1" w:color="auto"/>
      </w:pBdr>
      <w:tabs>
        <w:tab w:val="right" w:pos="9027"/>
      </w:tabs>
      <w:spacing w:after="0"/>
      <w:rPr>
        <w:color w:val="002664"/>
        <w:sz w:val="18"/>
        <w:szCs w:val="18"/>
      </w:rPr>
    </w:pPr>
    <w:r w:rsidRPr="00FC043E">
      <w:rPr>
        <w:rFonts w:cs="Arial"/>
        <w:color w:val="002664"/>
        <w:sz w:val="18"/>
        <w:szCs w:val="18"/>
      </w:rPr>
      <w:t>© 202</w:t>
    </w:r>
    <w:r w:rsidR="00492A12">
      <w:rPr>
        <w:rFonts w:cs="Arial"/>
        <w:color w:val="002664"/>
        <w:sz w:val="18"/>
        <w:szCs w:val="18"/>
      </w:rPr>
      <w:t>2</w:t>
    </w:r>
    <w:r w:rsidRPr="00FC043E">
      <w:rPr>
        <w:rFonts w:cs="Arial"/>
        <w:color w:val="002664"/>
        <w:sz w:val="18"/>
        <w:szCs w:val="18"/>
      </w:rPr>
      <w:t xml:space="preserve"> NSW Education Standards Authority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F5E7CC" w14:textId="77777777" w:rsidR="009278FC" w:rsidRDefault="009278FC" w:rsidP="0084058C">
      <w:pPr>
        <w:spacing w:after="0" w:line="240" w:lineRule="auto"/>
      </w:pPr>
      <w:r>
        <w:separator/>
      </w:r>
    </w:p>
  </w:footnote>
  <w:footnote w:type="continuationSeparator" w:id="0">
    <w:p w14:paraId="405F7AFC" w14:textId="77777777" w:rsidR="009278FC" w:rsidRDefault="009278FC" w:rsidP="008405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6250A" w14:textId="77777777" w:rsidR="00DB202A" w:rsidRPr="00C10856" w:rsidRDefault="00DB202A" w:rsidP="00DB202A">
    <w:pPr>
      <w:pStyle w:val="Organisationname"/>
      <w:rPr>
        <w:color w:val="002664"/>
      </w:rPr>
    </w:pPr>
    <w:r w:rsidRPr="00C10856">
      <w:rPr>
        <w:noProof/>
        <w:color w:val="002664"/>
        <w:sz w:val="40"/>
        <w:szCs w:val="40"/>
        <w:lang w:eastAsia="en-AU"/>
      </w:rPr>
      <w:drawing>
        <wp:anchor distT="0" distB="0" distL="114300" distR="114300" simplePos="0" relativeHeight="251659264" behindDoc="0" locked="0" layoutInCell="1" allowOverlap="1" wp14:anchorId="51221024" wp14:editId="22D20F5E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660400" cy="701675"/>
          <wp:effectExtent l="0" t="0" r="6350" b="3175"/>
          <wp:wrapSquare wrapText="bothSides"/>
          <wp:docPr id="13" name="Picture 13" descr="NSW Government logo" title="NSW Governmen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ratah NSWGovt Two ColourHiRes_sm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701675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br/>
    </w:r>
    <w:r w:rsidRPr="00C10856">
      <w:rPr>
        <w:color w:val="002664"/>
      </w:rPr>
      <w:t xml:space="preserve">NSW Education Standards Authority </w:t>
    </w:r>
    <w:r w:rsidRPr="00C10856">
      <w:rPr>
        <w:color w:val="002664"/>
      </w:rPr>
      <w:tab/>
    </w:r>
  </w:p>
  <w:p w14:paraId="6B87BB1C" w14:textId="77777777" w:rsidR="00DB202A" w:rsidRPr="000D39C4" w:rsidRDefault="00DB202A" w:rsidP="00DB202A">
    <w:pPr>
      <w:pBdr>
        <w:bottom w:val="single" w:sz="4" w:space="1" w:color="280070"/>
      </w:pBdr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B57DDC"/>
    <w:multiLevelType w:val="hybridMultilevel"/>
    <w:tmpl w:val="6FF0C2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FA3CB3"/>
    <w:multiLevelType w:val="hybridMultilevel"/>
    <w:tmpl w:val="AFBA1B1C"/>
    <w:lvl w:ilvl="0" w:tplc="19866F1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09000551">
    <w:abstractNumId w:val="0"/>
  </w:num>
  <w:num w:numId="2" w16cid:durableId="159007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351"/>
    <w:rsid w:val="000C249F"/>
    <w:rsid w:val="000E15F9"/>
    <w:rsid w:val="00166B2D"/>
    <w:rsid w:val="001A6604"/>
    <w:rsid w:val="001C07BA"/>
    <w:rsid w:val="002265E2"/>
    <w:rsid w:val="00272BFE"/>
    <w:rsid w:val="00294F3B"/>
    <w:rsid w:val="002D0AAB"/>
    <w:rsid w:val="002E3BFE"/>
    <w:rsid w:val="0031258F"/>
    <w:rsid w:val="003715E6"/>
    <w:rsid w:val="00382F61"/>
    <w:rsid w:val="003A5B31"/>
    <w:rsid w:val="003A7CEC"/>
    <w:rsid w:val="00447033"/>
    <w:rsid w:val="00461AA3"/>
    <w:rsid w:val="00492A12"/>
    <w:rsid w:val="004A0C56"/>
    <w:rsid w:val="004F3B45"/>
    <w:rsid w:val="00500CA2"/>
    <w:rsid w:val="00507ED2"/>
    <w:rsid w:val="00543731"/>
    <w:rsid w:val="005B4351"/>
    <w:rsid w:val="00656A47"/>
    <w:rsid w:val="0067125E"/>
    <w:rsid w:val="006F0A80"/>
    <w:rsid w:val="00760269"/>
    <w:rsid w:val="00773556"/>
    <w:rsid w:val="0084058C"/>
    <w:rsid w:val="0086633B"/>
    <w:rsid w:val="00876DCE"/>
    <w:rsid w:val="008828EF"/>
    <w:rsid w:val="008C1F2A"/>
    <w:rsid w:val="00901851"/>
    <w:rsid w:val="009278FC"/>
    <w:rsid w:val="00A1289F"/>
    <w:rsid w:val="00AE6117"/>
    <w:rsid w:val="00AF274E"/>
    <w:rsid w:val="00B05C8D"/>
    <w:rsid w:val="00B83C64"/>
    <w:rsid w:val="00C241B6"/>
    <w:rsid w:val="00C354CF"/>
    <w:rsid w:val="00CC3D5D"/>
    <w:rsid w:val="00CD40F6"/>
    <w:rsid w:val="00CD4CCF"/>
    <w:rsid w:val="00D6501E"/>
    <w:rsid w:val="00DA7FED"/>
    <w:rsid w:val="00DB202A"/>
    <w:rsid w:val="00E20AEE"/>
    <w:rsid w:val="00E36354"/>
    <w:rsid w:val="00E41E32"/>
    <w:rsid w:val="00E65E61"/>
    <w:rsid w:val="00EA6FB6"/>
    <w:rsid w:val="00EA7570"/>
    <w:rsid w:val="00ED11EB"/>
    <w:rsid w:val="00ED1382"/>
    <w:rsid w:val="00EF41D1"/>
    <w:rsid w:val="00FD381A"/>
    <w:rsid w:val="00FE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81443F"/>
  <w15:chartTrackingRefBased/>
  <w15:docId w15:val="{4581348B-32C2-426F-B4DB-CC9810500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/>
    <w:lsdException w:name="heading 2" w:semiHidden="1" w:uiPriority="1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B4351"/>
    <w:pPr>
      <w:widowControl w:val="0"/>
      <w:spacing w:after="240" w:line="276" w:lineRule="auto"/>
    </w:pPr>
    <w:rPr>
      <w:rFonts w:ascii="Arial" w:eastAsia="Calibri" w:hAnsi="Arial"/>
      <w:spacing w:val="-2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rsid w:val="00B05C8D"/>
    <w:pPr>
      <w:pBdr>
        <w:bottom w:val="single" w:sz="4" w:space="1" w:color="auto"/>
      </w:pBdr>
      <w:spacing w:before="320"/>
      <w:outlineLvl w:val="0"/>
    </w:pPr>
    <w:rPr>
      <w:rFonts w:cs="Calibri"/>
      <w:b/>
      <w:bCs/>
      <w:color w:val="00266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unhideWhenUsed/>
    <w:qFormat/>
    <w:rsid w:val="005B43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C8D"/>
    <w:rPr>
      <w:rFonts w:ascii="Arial" w:eastAsia="Calibri" w:hAnsi="Arial" w:cs="Calibri"/>
      <w:b/>
      <w:bCs/>
      <w:color w:val="002664"/>
      <w:spacing w:val="-2"/>
      <w:sz w:val="40"/>
      <w:szCs w:val="40"/>
    </w:rPr>
  </w:style>
  <w:style w:type="character" w:styleId="CommentReference">
    <w:name w:val="annotation reference"/>
    <w:basedOn w:val="DefaultParagraphFont"/>
    <w:uiPriority w:val="99"/>
    <w:semiHidden/>
    <w:unhideWhenUsed/>
    <w:rsid w:val="005B43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435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4351"/>
    <w:rPr>
      <w:rFonts w:ascii="Arial" w:eastAsia="Calibri" w:hAnsi="Arial"/>
      <w:spacing w:val="-2"/>
      <w:sz w:val="20"/>
      <w:szCs w:val="20"/>
    </w:rPr>
  </w:style>
  <w:style w:type="character" w:styleId="Hyperlink">
    <w:name w:val="Hyperlink"/>
    <w:uiPriority w:val="99"/>
    <w:qFormat/>
    <w:rsid w:val="005B4351"/>
    <w:rPr>
      <w:rFonts w:ascii="Arial" w:hAnsi="Arial"/>
      <w:color w:val="002664"/>
      <w:u w:val="single"/>
    </w:rPr>
  </w:style>
  <w:style w:type="character" w:customStyle="1" w:styleId="Heading2Char">
    <w:name w:val="Heading 2 Char"/>
    <w:basedOn w:val="DefaultParagraphFont"/>
    <w:link w:val="Heading2"/>
    <w:uiPriority w:val="11"/>
    <w:rsid w:val="005B4351"/>
    <w:rPr>
      <w:rFonts w:asciiTheme="majorHAnsi" w:eastAsiaTheme="majorEastAsia" w:hAnsiTheme="majorHAnsi" w:cstheme="majorBidi"/>
      <w:color w:val="2F5496" w:themeColor="accent1" w:themeShade="BF"/>
      <w:spacing w:val="-2"/>
      <w:sz w:val="26"/>
      <w:szCs w:val="26"/>
    </w:rPr>
  </w:style>
  <w:style w:type="paragraph" w:styleId="ListParagraph">
    <w:name w:val="List Paragraph"/>
    <w:basedOn w:val="Normal"/>
    <w:uiPriority w:val="34"/>
    <w:qFormat/>
    <w:rsid w:val="005B4351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1AA3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1AA3"/>
    <w:rPr>
      <w:rFonts w:ascii="Arial" w:eastAsia="Calibri" w:hAnsi="Arial"/>
      <w:b/>
      <w:bCs/>
      <w:spacing w:val="-2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E506F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A7FED"/>
    <w:rPr>
      <w:i/>
      <w:iCs/>
    </w:rPr>
  </w:style>
  <w:style w:type="character" w:customStyle="1" w:styleId="httpspapersssrncomsol3paperscfmabstractid3543211">
    <w:name w:val="https://papers.ssrn.com/sol3/papers.cfm?abstract_id=3543211"/>
    <w:basedOn w:val="DefaultParagraphFont"/>
    <w:rsid w:val="00DA7F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501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pacing w:val="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501E"/>
    <w:rPr>
      <w:rFonts w:ascii="Courier New" w:eastAsia="Times New Roman" w:hAnsi="Courier New" w:cs="Courier New"/>
      <w:sz w:val="20"/>
      <w:szCs w:val="20"/>
      <w:lang w:eastAsia="en-AU"/>
    </w:rPr>
  </w:style>
  <w:style w:type="paragraph" w:styleId="Bibliography">
    <w:name w:val="Bibliography"/>
    <w:basedOn w:val="Normal"/>
    <w:next w:val="Normal"/>
    <w:uiPriority w:val="37"/>
    <w:unhideWhenUsed/>
    <w:rsid w:val="0086633B"/>
  </w:style>
  <w:style w:type="paragraph" w:styleId="Header">
    <w:name w:val="header"/>
    <w:basedOn w:val="Normal"/>
    <w:link w:val="HeaderChar"/>
    <w:uiPriority w:val="99"/>
    <w:unhideWhenUsed/>
    <w:rsid w:val="008405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58C"/>
    <w:rPr>
      <w:rFonts w:ascii="Arial" w:eastAsia="Calibri" w:hAnsi="Arial"/>
      <w:spacing w:val="-2"/>
      <w:sz w:val="20"/>
    </w:rPr>
  </w:style>
  <w:style w:type="paragraph" w:styleId="Footer">
    <w:name w:val="footer"/>
    <w:basedOn w:val="Normal"/>
    <w:link w:val="FooterChar"/>
    <w:uiPriority w:val="99"/>
    <w:unhideWhenUsed/>
    <w:rsid w:val="008405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58C"/>
    <w:rPr>
      <w:rFonts w:ascii="Arial" w:eastAsia="Calibri" w:hAnsi="Arial"/>
      <w:spacing w:val="-2"/>
      <w:sz w:val="20"/>
    </w:rPr>
  </w:style>
  <w:style w:type="paragraph" w:customStyle="1" w:styleId="Organisationname">
    <w:name w:val="Organisation name"/>
    <w:basedOn w:val="Normal"/>
    <w:uiPriority w:val="40"/>
    <w:semiHidden/>
    <w:qFormat/>
    <w:rsid w:val="0084058C"/>
    <w:pPr>
      <w:tabs>
        <w:tab w:val="right" w:pos="8931"/>
      </w:tabs>
      <w:spacing w:after="0"/>
    </w:pPr>
    <w:rPr>
      <w:b/>
      <w:color w:val="041E42"/>
      <w:position w:val="30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EA6F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1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cation.gov.au/disability-standards-education-2005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education.gov.au/alice-springs-mparntwe-education-declaration" TargetMode="Externa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ED22E8E7727484C9B9D858BF8405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CC5C2-751D-4256-B27F-EAED69FEC932}"/>
      </w:docPartPr>
      <w:docPartBody>
        <w:p w:rsidR="00E1209F" w:rsidRDefault="00913B97" w:rsidP="00913B97">
          <w:pPr>
            <w:pStyle w:val="9ED22E8E7727484C9B9D858BF84055BC"/>
          </w:pPr>
          <w:r w:rsidRPr="0049537B">
            <w:rPr>
              <w:rStyle w:val="PlaceholderText"/>
            </w:rPr>
            <w:t>[Title]</w:t>
          </w:r>
        </w:p>
      </w:docPartBody>
    </w:docPart>
    <w:docPart>
      <w:docPartPr>
        <w:name w:val="9F8C606E65B74BC2A740736F51953D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0519FB-83BA-46E3-B75F-C0E51726DCDC}"/>
      </w:docPartPr>
      <w:docPartBody>
        <w:p w:rsidR="00E1209F" w:rsidRDefault="00913B97" w:rsidP="00913B97">
          <w:pPr>
            <w:pStyle w:val="9F8C606E65B74BC2A740736F51953D59"/>
          </w:pPr>
          <w:r w:rsidRPr="0049537B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B97"/>
    <w:rsid w:val="000C249F"/>
    <w:rsid w:val="0015132D"/>
    <w:rsid w:val="00656A47"/>
    <w:rsid w:val="00913B97"/>
    <w:rsid w:val="00C8524E"/>
    <w:rsid w:val="00E1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A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13B97"/>
    <w:rPr>
      <w:color w:val="808080"/>
    </w:rPr>
  </w:style>
  <w:style w:type="paragraph" w:customStyle="1" w:styleId="9ED22E8E7727484C9B9D858BF84055BC">
    <w:name w:val="9ED22E8E7727484C9B9D858BF84055BC"/>
    <w:rsid w:val="00913B97"/>
  </w:style>
  <w:style w:type="paragraph" w:customStyle="1" w:styleId="9F8C606E65B74BC2A740736F51953D59">
    <w:name w:val="9F8C606E65B74BC2A740736F51953D59"/>
    <w:rsid w:val="00913B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GSM.xsl" StyleName="AGSM" Version="1">
  <b:Source>
    <b:Tag>Ana17</b:Tag>
    <b:SourceType>JournalArticle</b:SourceType>
    <b:Guid>{71ED448C-38C6-45A5-94FD-6835938ADEB8}</b:Guid>
    <b:Author>
      <b:Author>
        <b:NameList>
          <b:Person>
            <b:Last>Anazifa</b:Last>
            <b:First>RD</b:First>
          </b:Person>
          <b:Person>
            <b:Last>Djukri</b:Last>
            <b:First>D</b:First>
          </b:Person>
        </b:NameList>
      </b:Author>
    </b:Author>
    <b:Title>Project-Based Learning and Problem-Based Learning: Are They Effective to Improve Student's Thinking Skills</b:Title>
    <b:JournalName>Jurnal Pendidikan IPA Indonesia</b:JournalName>
    <b:Year>2017</b:Year>
    <b:Pages>346–355</b:Pages>
    <b:Volume>6</b:Volume>
    <b:Issue>2</b:Issue>
    <b:DOI>10.15294/jpii.v6i2.11100</b:DOI>
    <b:RefOrder>1</b:RefOrder>
  </b:Source>
  <b:Source>
    <b:Tag>Aus22</b:Tag>
    <b:SourceType>DocumentFromInternetSite</b:SourceType>
    <b:Guid>{15EE97FD-E180-41D8-B99D-A42670CB2F1F}</b:Guid>
    <b:Author>
      <b:Author>
        <b:Corporate>Australian Government</b:Corporate>
      </b:Author>
    </b:Author>
    <b:Title>The Disability Standards for Education 2005</b:Title>
    <b:Year>2005</b:Year>
    <b:YearAccessed>2022</b:YearAccessed>
    <b:MonthAccessed>March</b:MonthAccessed>
    <b:DayAccessed>9</b:DayAccessed>
    <b:URL>https://www.dese.gov.au/disability-standards-education-2005</b:URL>
    <b:RefOrder>2</b:RefOrder>
  </b:Source>
  <b:Source>
    <b:Tag>Con15</b:Tag>
    <b:SourceType>ConferenceProceedings</b:SourceType>
    <b:Guid>{A430EF5B-8656-42A3-8C2E-212F92B64428}</b:Guid>
    <b:Author>
      <b:Author>
        <b:NameList>
          <b:Person>
            <b:Last>Connolly</b:Last>
            <b:First>R</b:First>
          </b:Person>
          <b:Person>
            <b:Last>Lunt</b:Last>
            <b:First>B</b:First>
          </b:Person>
          <b:Person>
            <b:Last>Miller</b:Last>
            <b:First>J</b:First>
          </b:Person>
          <b:Person>
            <b:Last>Powell</b:Last>
            <b:First>LM</b:First>
          </b:Person>
        </b:NameList>
      </b:Author>
    </b:Author>
    <b:Title>Towards a Better Understanding of the Different Computing Disciplines</b:Title>
    <b:Year>2015</b:Year>
    <b:ConferenceName>16th Annual Conference on Information Technology Education (SIGITE '15)</b:ConferenceName>
    <b:City>New York, NY, USA</b:City>
    <b:Publisher>Association for Computing Machinery</b:Publisher>
    <b:DOI>10.1145/2808006.2808016</b:DOI>
    <b:RefOrder>3</b:RefOrder>
  </b:Source>
  <b:Source>
    <b:Tag>Del17</b:Tag>
    <b:SourceType>InternetSite</b:SourceType>
    <b:Guid>{22258923-12E4-411C-B54E-6361D8A5C3EB}</b:Guid>
    <b:Title>To code or not to code, is that the question?</b:Title>
    <b:Year>2017</b:Year>
    <b:YearAccessed>2019</b:YearAccessed>
    <b:MonthAccessed>June</b:MonthAccessed>
    <b:DayAccessed>4</b:DayAccessed>
    <b:URL>https://www2.deloitte.com/content/dam/Deloitte/au/Documents/public-sector/deloitte-au-ps-to-code-or-not-to-code-is-that-the-question-080118.pdf</b:URL>
    <b:Author>
      <b:Author>
        <b:Corporate>Deloitte</b:Corporate>
      </b:Author>
    </b:Author>
    <b:InternetSiteTitle>Deloitte Website</b:InternetSiteTitle>
    <b:RefOrder>4</b:RefOrder>
  </b:Source>
  <b:Source>
    <b:Tag>Edu15</b:Tag>
    <b:SourceType>Report</b:SourceType>
    <b:Guid>{4808C8AF-7A06-44FF-8378-0F44ECF3B276}</b:Guid>
    <b:Author>
      <b:Author>
        <b:Corporate>Education Council</b:Corporate>
      </b:Author>
    </b:Author>
    <b:Title>NATIONAL STEM SCHOOL EDUCATION STRATEGY</b:Title>
    <b:Year>2015</b:Year>
    <b:Department>Education Council</b:Department>
    <b:Institution>Australian Government</b:Institution>
    <b:RefOrder>5</b:RefOrder>
  </b:Source>
  <b:Source>
    <b:Tag>FYA17</b:Tag>
    <b:SourceType>Report</b:SourceType>
    <b:Guid>{3A3A93A2-4367-4709-B32C-DE6876985754}</b:Guid>
    <b:Author>
      <b:Author>
        <b:Corporate>FYA (Foundation for Young Australians)</b:Corporate>
      </b:Author>
    </b:Author>
    <b:Title>THE NEW WORK SMARTS: Thriving in the New Work Order</b:Title>
    <b:Year>2017</b:Year>
    <b:Institution>Foundation for Young Australians</b:Institution>
    <b:RefOrder>6</b:RefOrder>
  </b:Source>
  <b:Source>
    <b:Tag>Gra06</b:Tag>
    <b:SourceType>ConferenceProceedings</b:SourceType>
    <b:Guid>{9DC07DA0-7FB0-47AF-876B-F90C8ED57F1B}</b:Guid>
    <b:Author>
      <b:Author>
        <b:NameList>
          <b:Person>
            <b:Last>Grandell</b:Last>
            <b:First>L</b:First>
          </b:Person>
          <b:Person>
            <b:Last>Peltomäki</b:Last>
            <b:First>M</b:First>
          </b:Person>
          <b:Person>
            <b:Last>Back</b:Last>
            <b:First>R</b:First>
            <b:Middle>J</b:Middle>
          </b:Person>
          <b:Person>
            <b:Last>Salakoski</b:Last>
            <b:First>T</b:First>
          </b:Person>
        </b:NameList>
      </b:Author>
    </b:Author>
    <b:Title>Why complicate things? Introducing programming in high school using Python</b:Title>
    <b:Year>2006</b:Year>
    <b:ConferenceName>The 8th Australasian Conference on Computing Education</b:ConferenceName>
    <b:Pages>71–80</b:Pages>
    <b:Volume>52</b:Volume>
    <b:RefOrder>7</b:RefOrder>
  </b:Source>
  <b:Source>
    <b:Tag>HHe10</b:Tag>
    <b:SourceType>ConferenceProceedings</b:SourceType>
    <b:Guid>{9B2360C1-4AC1-4FF9-94A1-7F6585F5D0E2}</b:Guid>
    <b:Author>
      <b:Author>
        <b:NameList>
          <b:Person>
            <b:Last>Heersink</b:Last>
            <b:First>H</b:First>
          </b:Person>
          <b:Person>
            <b:Last>Moskal</b:Last>
            <b:First>BM</b:First>
          </b:Person>
        </b:NameList>
      </b:Author>
    </b:Author>
    <b:Title>Measuring high school students' attitudes toward computing</b:Title>
    <b:Year>2010</b:Year>
    <b:ConferenceName>The 41st ACM technical symposium on Computer science education (SIGCSE '10)</b:ConferenceName>
    <b:City>New York, NY, USA</b:City>
    <b:Pages>446–450</b:Pages>
    <b:Publisher>Association for Computing Machinery</b:Publisher>
    <b:DOI>10.1145/1734263.1734413</b:DOI>
    <b:RefOrder>8</b:RefOrder>
  </b:Source>
  <b:Source>
    <b:Tag>ITE21</b:Tag>
    <b:SourceType>InternetSite</b:SourceType>
    <b:Guid>{D549EA59-5F5A-4DE7-A030-D68A101E7E58}</b:Guid>
    <b:Author>
      <b:Author>
        <b:Corporate>ITEEA (International Technology and Engineering Educators Association)</b:Corporate>
      </b:Author>
    </b:Author>
    <b:Title>Technological and Engineering Literacy: An Educational Imperative</b:Title>
    <b:YearAccessed>2021</b:YearAccessed>
    <b:MonthAccessed>June</b:MonthAccessed>
    <b:DayAccessed>22</b:DayAccessed>
    <b:URL>https://www.iteea.org/File.aspx?id=179872&amp;v=45982a97&amp;source=generalSearch</b:URL>
    <b:InternetSiteTitle>ITEEA website</b:InternetSiteTitle>
    <b:RefOrder>9</b:RefOrder>
  </b:Source>
  <b:Source>
    <b:Tag>K1218</b:Tag>
    <b:SourceType>InternetSite</b:SourceType>
    <b:Guid>{7AF5087C-952F-40FA-8C9B-6F312828FE2F}</b:Guid>
    <b:Author>
      <b:Author>
        <b:Corporate>K–12 Computer Science Framework Steering Committee</b:Corporate>
      </b:Author>
    </b:Author>
    <b:Title>K–12 Computing Science Framework</b:Title>
    <b:InternetSiteTitle>K12CS website</b:InternetSiteTitle>
    <b:YearAccessed>2018</b:YearAccessed>
    <b:MonthAccessed>June</b:MonthAccessed>
    <b:DayAccessed>29</b:DayAccessed>
    <b:URL>https://k12cs.org/wp-content/uploads/2016/09/K–12-Computer-Science-Framework.pdf</b:URL>
    <b:RefOrder>10</b:RefOrder>
  </b:Source>
  <b:Source>
    <b:Tag>Lap20</b:Tag>
    <b:SourceType>JournalArticle</b:SourceType>
    <b:Guid>{6086E18E-79FA-4972-859A-37198BF28A03}</b:Guid>
    <b:Author>
      <b:Author>
        <b:NameList>
          <b:Person>
            <b:Last>Lapuz</b:Last>
            <b:First>A</b:First>
            <b:Middle>M E</b:Middle>
          </b:Person>
          <b:Person>
            <b:Last>Fugencio</b:Last>
            <b:First>M</b:First>
            <b:Middle>N</b:Middle>
          </b:Person>
        </b:NameList>
      </b:Author>
    </b:Author>
    <b:Title>Improving the critical thinking skills of secondary school students using problem-based learning</b:Title>
    <b:JournalName>International Journal of Academic Multidisciplinary Research (IJAMR)</b:JournalName>
    <b:Year>2020</b:Year>
    <b:Pages>1–7</b:Pages>
    <b:Volume>4</b:Volume>
    <b:Issue>1</b:Issue>
    <b:RefOrder>11</b:RefOrder>
  </b:Source>
  <b:Source>
    <b:Tag>NES22</b:Tag>
    <b:SourceType>InternetSite</b:SourceType>
    <b:Guid>{56275ECE-B420-4DE1-B774-30ACE96F43A1}</b:Guid>
    <b:Author>
      <b:Author>
        <b:Corporate>NESA (NSW Education Standards Authority)</b:Corporate>
      </b:Author>
    </b:Author>
    <b:Title>Statement of Equity Principles</b:Title>
    <b:InternetSiteTitle>NESA website</b:InternetSiteTitle>
    <b:YearAccessed>2022</b:YearAccessed>
    <b:MonthAccessed>March</b:MonthAccessed>
    <b:DayAccessed>9</b:DayAccessed>
    <b:URL>https://educationstandards.nsw.edu.au/wps/portal/nesa/k-10/understanding-the-curriculum/curriculum-development/syllabus-development-process/equity-principles</b:URL>
    <b:RefOrder>12</b:RefOrder>
  </b:Source>
  <b:Source>
    <b:Tag>Edu17</b:Tag>
    <b:SourceType>Report</b:SourceType>
    <b:Guid>{749AACD0-2C11-4C6F-B71A-BDB821935841}</b:Guid>
    <b:Author>
      <b:Author>
        <b:Corporate>NSW Department of Education</b:Corporate>
      </b:Author>
    </b:Author>
    <b:Title>EDUCATION: FUTURE FRONTIERS Discussion Paper 2 Opportunities and challenges for education</b:Title>
    <b:Year>017</b:Year>
    <b:Institution>NSW Department of Education</b:Institution>
    <b:RefOrder>13</b:RefOrder>
  </b:Source>
  <b:Source>
    <b:Tag>LSt16</b:Tag>
    <b:SourceType>ConferenceProceedings</b:SourceType>
    <b:Guid>{A2D743F4-B4A2-4AD0-BDC2-0DCF59286752}</b:Guid>
    <b:Title>Coding in the curriculum: Fad or foundational?</b:Title>
    <b:Year>2016</b:Year>
    <b:ConferenceName>Research Conference 2016 – Improving STEM Learning: What will it take?</b:ConferenceName>
    <b:Author>
      <b:Author>
        <b:NameList>
          <b:Person>
            <b:Last>Sterling</b:Last>
            <b:First>L</b:First>
          </b:Person>
        </b:NameList>
      </b:Author>
    </b:Author>
    <b:RefOrder>14</b:RefOrder>
  </b:Source>
  <b:Source>
    <b:Tag>Ter21</b:Tag>
    <b:SourceType>InternetSite</b:SourceType>
    <b:Guid>{46DA018B-E715-4D7A-A378-034FDF47E724}</b:Guid>
    <b:Author>
      <b:Author>
        <b:NameList>
          <b:Person>
            <b:Last>Terada</b:Last>
            <b:First>Y</b:First>
          </b:Person>
        </b:NameList>
      </b:Author>
    </b:Author>
    <b:Title>New Research Makes a Powerful Case for PBL</b:Title>
    <b:Year>2021</b:Year>
    <b:ConferenceName>Edutopia</b:ConferenceName>
    <b:YearAccessed>2021</b:YearAccessed>
    <b:MonthAccessed>April</b:MonthAccessed>
    <b:DayAccessed>14</b:DayAccessed>
    <b:URL>https://www.edutopia.org/article/new-research-makes-powerful-case-pbl</b:URL>
    <b:InternetSiteTitle>Edutopia</b:InternetSiteTitle>
    <b:RefOrder>15</b:RefOrder>
  </b:Source>
  <b:Source>
    <b:Tag>The17</b:Tag>
    <b:SourceType>Report</b:SourceType>
    <b:Guid>{7CACCF40-0397-4A9C-8FC2-ED75C12A6749}</b:Guid>
    <b:Title>After the reboot: computing education in UK schools</b:Title>
    <b:Author>
      <b:Author>
        <b:Corporate>The Royal Society</b:Corporate>
      </b:Author>
    </b:Author>
    <b:Year>2017</b:Year>
    <b:Institution>The Royal Society</b:Institution>
    <b:RefOrder>16</b:RefOrder>
  </b:Source>
  <b:Source>
    <b:Tag>Tho15</b:Tag>
    <b:SourceType>Report</b:SourceType>
    <b:Guid>{43807C57-7BBF-4197-BFD4-C95B22FEC4B6}</b:Guid>
    <b:Author>
      <b:Author>
        <b:NameList>
          <b:Person>
            <b:Last>Thomson</b:Last>
            <b:First>S</b:First>
          </b:Person>
        </b:NameList>
      </b:Author>
    </b:Author>
    <b:Title>Australian Students in a Digital World</b:Title>
    <b:Year>2015</b:Year>
    <b:Department>Policy Insights, Issue 3</b:Department>
    <b:Institution>ACER</b:Institution>
    <b:URL>https://research.acer.edu.au/cgi/viewcontent.cgi?article=1002&amp;context=policyinsights</b:URL>
    <b:RefOrder>17</b:RefOrder>
  </b:Source>
  <b:Source>
    <b:Tag>Win06</b:Tag>
    <b:SourceType>Report</b:SourceType>
    <b:Guid>{733D253E-EA0D-4836-9C23-FC1C08EAC5B3}</b:Guid>
    <b:Author>
      <b:Author>
        <b:NameList>
          <b:Person>
            <b:Last>Wing</b:Last>
            <b:First>JM</b:First>
          </b:Person>
        </b:NameList>
      </b:Author>
    </b:Author>
    <b:Title>Computational Thinking</b:Title>
    <b:Year>2006</b:Year>
    <b:Institution>Communications of the ACM</b:Institution>
    <b:RefOrder>18</b:RefOrder>
  </b:Source>
</b:Sources>
</file>

<file path=customXml/itemProps1.xml><?xml version="1.0" encoding="utf-8"?>
<ds:datastoreItem xmlns:ds="http://schemas.openxmlformats.org/officeDocument/2006/customXml" ds:itemID="{30D4EB19-76BE-4ACB-A7D1-E653CD230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678</Words>
  <Characters>3392</Characters>
  <Application>Microsoft Office Word</Application>
  <DocSecurity>0</DocSecurity>
  <Lines>84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Engineering 11–12: Bibliography</vt:lpstr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Engineering 11–12 (2022): Bibliography</dc:title>
  <dc:subject/>
  <dc:creator>NSW Education Standards Authority</dc:creator>
  <cp:keywords/>
  <dc:description/>
  <cp:lastModifiedBy>Cleo Mees</cp:lastModifiedBy>
  <cp:revision>2</cp:revision>
  <dcterms:created xsi:type="dcterms:W3CDTF">2024-10-25T00:27:00Z</dcterms:created>
  <dcterms:modified xsi:type="dcterms:W3CDTF">2024-10-25T00:27:00Z</dcterms:modified>
</cp:coreProperties>
</file>