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F3864"/>
          <w:sz w:val="48"/>
          <w:szCs w:val="48"/>
        </w:rPr>
        <w:t xml:space="preserve">WNBA Predictive Model</w:t>
      </w:r>
    </w:p>
    <w:p>
      <w:pPr>
        <w:spacing w:after="160" w:before="0"/>
        <w:jc w:val="center"/>
      </w:pPr>
      <w:r>
        <w:rPr>
          <w:rFonts w:ascii="Arial" w:cs="Arial" w:eastAsia="Arial" w:hAnsi="Arial"/>
          <w:color w:val="2E75B6"/>
          <w:sz w:val="32"/>
          <w:szCs w:val="32"/>
        </w:rPr>
        <w:t xml:space="preserve">Complete Feature Reference &amp; Weight Guide</w:t>
      </w:r>
    </w:p>
    <w:p>
      <w:pPr>
        <w:spacing w:after="2000" w:before="0"/>
        <w:jc w:val="center"/>
      </w:pPr>
      <w:r>
        <w:rPr>
          <w:rFonts w:ascii="Arial" w:cs="Arial" w:eastAsia="Arial" w:hAnsi="Arial"/>
          <w:color w:val="666666"/>
          <w:sz w:val="22"/>
          <w:szCs w:val="22"/>
        </w:rPr>
        <w:t xml:space="preserve">Decomposition Model v1 — Walk-Forward Backtest 2020–2025</w:t>
      </w:r>
    </w:p>
    <w:p>
      <w:r>
        <w:br w:type="page"/>
      </w:r>
    </w:p>
    <w:p>
      <w:pPr>
        <w:pStyle w:val="Heading1"/>
        <w:spacing w:after="200" w:before="0"/>
      </w:pPr>
      <w:r>
        <w:rPr>
          <w:rFonts w:ascii="Arial" w:cs="Arial" w:eastAsia="Arial" w:hAnsi="Arial"/>
          <w:b/>
          <w:bCs/>
          <w:color w:val="1F3864"/>
          <w:sz w:val="32"/>
          <w:szCs w:val="32"/>
        </w:rPr>
        <w:t xml:space="preserve">1. How to Read This Guide</w:t>
      </w:r>
    </w:p>
    <w:p>
      <w:pPr>
        <w:spacing w:after="60" w:before="60"/>
      </w:pPr>
      <w:r>
        <w:rPr>
          <w:rFonts w:ascii="Arial" w:cs="Arial" w:eastAsia="Arial" w:hAnsi="Arial"/>
          <w:sz w:val="20"/>
          <w:szCs w:val="20"/>
        </w:rPr>
        <w:t xml:space="preserve">The WNBA model uses 100 rolling statistical features — 50 for the home team and 50 for the away team — to predict the home team's final margin of victory. Every feature is measured separately for each side; the model learns how each team's traits translate to home versus road performance without pre-combining them.</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1.1  Feature Naming Convention</w:t>
      </w:r>
    </w:p>
    <w:p>
      <w:pPr>
        <w:spacing w:after="60" w:before="60"/>
      </w:pPr>
      <w:r>
        <w:rPr>
          <w:rFonts w:ascii="Arial" w:cs="Arial" w:eastAsia="Arial" w:hAnsi="Arial"/>
          <w:sz w:val="20"/>
          <w:szCs w:val="20"/>
        </w:rPr>
        <w:t xml:space="preserve">Every feature follows the pattern:   [side]_[stat]_[window]</w:t>
      </w:r>
    </w:p>
    <w:p>
      <w:pPr>
        <w:spacing w:after="60" w:before="60"/>
      </w:pPr>
      <w:r>
        <w:rPr>
          <w:rFonts w:ascii="Arial" w:cs="Arial" w:eastAsia="Arial" w:hAnsi="Arial"/>
          <w:sz w:val="20"/>
          <w:szCs w:val="20"/>
        </w:rPr>
        <w:t xml:space="preserve">side — home_ or away_ prefix</w:t>
      </w:r>
    </w:p>
    <w:p>
      <w:pPr>
        <w:spacing w:after="60" w:before="60"/>
      </w:pPr>
      <w:r>
        <w:rPr>
          <w:rFonts w:ascii="Arial" w:cs="Arial" w:eastAsia="Arial" w:hAnsi="Arial"/>
          <w:sz w:val="20"/>
          <w:szCs w:val="20"/>
        </w:rPr>
        <w:t xml:space="preserve">stat — the specific metric (e.g. net_rtg, win_pct)</w:t>
      </w:r>
    </w:p>
    <w:p>
      <w:pPr>
        <w:spacing w:after="60" w:before="60"/>
      </w:pPr>
      <w:r>
        <w:rPr>
          <w:rFonts w:ascii="Arial" w:cs="Arial" w:eastAsia="Arial" w:hAnsi="Arial"/>
          <w:sz w:val="20"/>
          <w:szCs w:val="20"/>
        </w:rPr>
        <w:t xml:space="preserve">window — time horizon suffix:</w:t>
      </w:r>
    </w:p>
    <w:p>
      <w:pPr>
        <w:spacing w:after="60" w:before="60"/>
      </w:pPr>
      <w:r>
        <w:rPr>
          <w:rFonts w:ascii="Arial" w:cs="Arial" w:eastAsia="Arial" w:hAnsi="Arial"/>
          <w:sz w:val="20"/>
          <w:szCs w:val="20"/>
        </w:rPr>
        <w:t xml:space="preserve">    r5       Last 5 games (fast-reacting, recent form)</w:t>
      </w:r>
    </w:p>
    <w:p>
      <w:pPr>
        <w:spacing w:after="60" w:before="60"/>
      </w:pPr>
      <w:r>
        <w:rPr>
          <w:rFonts w:ascii="Arial" w:cs="Arial" w:eastAsia="Arial" w:hAnsi="Arial"/>
          <w:sz w:val="20"/>
          <w:szCs w:val="20"/>
        </w:rPr>
        <w:t xml:space="preserve">    r10      Last 10 games (more stable, medium-term trend)</w:t>
      </w:r>
    </w:p>
    <w:p>
      <w:pPr>
        <w:spacing w:after="60" w:before="60"/>
      </w:pPr>
      <w:r>
        <w:rPr>
          <w:rFonts w:ascii="Arial" w:cs="Arial" w:eastAsia="Arial" w:hAnsi="Arial"/>
          <w:sz w:val="20"/>
          <w:szCs w:val="20"/>
        </w:rPr>
        <w:t xml:space="preserve">    ewma_s5  Exponentially weighted moving average, span=5 (smooth decay)</w:t>
      </w:r>
    </w:p>
    <w:p>
      <w:pPr>
        <w:spacing w:after="60" w:before="60"/>
      </w:pPr>
      <w:r>
        <w:rPr>
          <w:rFonts w:ascii="Arial" w:cs="Arial" w:eastAsia="Arial" w:hAnsi="Arial"/>
          <w:sz w:val="20"/>
          <w:szCs w:val="20"/>
        </w:rPr>
        <w:t xml:space="preserve">    ewma_s10 Exponentially weighted moving average, span=10 (slower decay)</w:t>
      </w:r>
    </w:p>
    <w:p>
      <w:pPr>
        <w:spacing w:after="60" w:before="60"/>
      </w:pPr>
      <w:r>
        <w:rPr>
          <w:rFonts w:ascii="Arial" w:cs="Arial" w:eastAsia="Arial" w:hAnsi="Arial"/>
          <w:sz w:val="20"/>
          <w:szCs w:val="20"/>
        </w:rPr>
        <w:t xml:space="preserve">    (no suffix) Season-level or situational metrics (days_rest, b2b)</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1.2  Player Quality (pq_) Features</w:t>
      </w:r>
    </w:p>
    <w:p>
      <w:pPr>
        <w:spacing w:after="60" w:before="60"/>
      </w:pPr>
      <w:r>
        <w:rPr>
          <w:rFonts w:ascii="Arial" w:cs="Arial" w:eastAsia="Arial" w:hAnsi="Arial"/>
          <w:sz w:val="20"/>
          <w:szCs w:val="20"/>
        </w:rPr>
        <w:t xml:space="preserve">Features prefixed pq_ are different from standard team stats. Instead of simply averaging team box scores, these compute a lineup-weighted composite: only players who actually appeared in recent games are included, and their individual stats are weighted by minutes played. This means pq_ features respond faster to roster changes, injuries, and minutes distribution shifts than standard rolling team averages.</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1.3  How to Read the Weight Columns</w:t>
      </w:r>
    </w:p>
    <w:p>
      <w:pPr>
        <w:spacing w:after="60" w:before="60"/>
      </w:pPr>
      <w:r>
        <w:rPr>
          <w:rFonts w:ascii="Arial" w:cs="Arial" w:eastAsia="Arial" w:hAnsi="Arial"/>
          <w:sz w:val="20"/>
          <w:szCs w:val="20"/>
        </w:rPr>
        <w:t xml:space="preserve">Ridge Coefficient — This is the standardized regression weight from the Ridge model. It tells you: for every one standard-deviation increase in this feature, the predicted home margin shifts by this many points. A positive coefficient means the feature favors the home team; a negative coefficient means it favors the away team. The larger the absolute value, the stronger the linear push.</w:t>
      </w:r>
    </w:p>
    <w:p>
      <w:pPr>
        <w:spacing w:after="60" w:before="60"/>
      </w:pPr>
      <w:r>
        <w:rPr>
          <w:rFonts w:ascii="Arial" w:cs="Arial" w:eastAsia="Arial" w:hAnsi="Arial"/>
          <w:sz w:val="20"/>
          <w:szCs w:val="20"/>
        </w:rPr>
        <w:t xml:space="preserve">XGBoost Gain % — This is the percentage of total prediction error reduction attributable to this feature in the gradient-boosted tree ensemble. Higher gain = more decision splits rely on this variable. XGBoost captures non-linear relationships that Ridge may miss.</w:t>
      </w:r>
    </w:p>
    <w:p>
      <w:pPr>
        <w:spacing w:after="60" w:before="60"/>
      </w:pPr>
      <w:r>
        <w:rPr>
          <w:rFonts w:ascii="Arial" w:cs="Arial" w:eastAsia="Arial" w:hAnsi="Arial"/>
          <w:sz w:val="20"/>
          <w:szCs w:val="20"/>
        </w:rPr>
        <w:t xml:space="preserve">Combined % — The sum of the Ridge share and XGBoost share (each normalized to 100%), giving a blended importance rank. The full model is a 50/50 ensemble of Ridge and XGBoost.</w:t>
      </w:r>
    </w:p>
    <w:p>
      <w:pPr>
        <w:spacing w:after="60" w:before="60"/>
      </w:pPr>
      <w:r>
        <w:rPr>
          <w:rFonts w:ascii="Arial" w:cs="Arial" w:eastAsia="Arial" w:hAnsi="Arial"/>
          <w:sz w:val="20"/>
          <w:szCs w:val="20"/>
        </w:rPr>
        <w:t xml:space="preserve">Note: Individual feature percentages are small because 100 features share the total weight. A feature at 6% combined is highly influential; below 1% it plays a supporting role.</w:t>
      </w:r>
    </w:p>
    <w:p>
      <w:r>
        <w:br w:type="page"/>
      </w:r>
    </w:p>
    <w:p>
      <w:pPr>
        <w:pStyle w:val="Heading1"/>
        <w:spacing w:after="200" w:before="0"/>
      </w:pPr>
      <w:r>
        <w:rPr>
          <w:rFonts w:ascii="Arial" w:cs="Arial" w:eastAsia="Arial" w:hAnsi="Arial"/>
          <w:b/>
          <w:bCs/>
          <w:color w:val="1F3864"/>
          <w:sz w:val="32"/>
          <w:szCs w:val="32"/>
        </w:rPr>
        <w:t xml:space="preserve">2. Top 20 Features by Combined Importance</w:t>
      </w:r>
    </w:p>
    <w:p>
      <w:pPr>
        <w:spacing w:after="60" w:before="60"/>
      </w:pPr>
      <w:r>
        <w:rPr>
          <w:rFonts w:ascii="Arial" w:cs="Arial" w:eastAsia="Arial" w:hAnsi="Arial"/>
          <w:sz w:val="20"/>
          <w:szCs w:val="20"/>
        </w:rPr>
        <w:t xml:space="preserve">These 20 features account for roughly 40% of the model's total predictive weight. The remaining 80 features contribute the balance, providing coverage across opponent-specific situations, form divergences, and edge cases.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300"/>
        <w:gridCol w:w="2900"/>
        <w:gridCol w:w="1100"/>
        <w:gridCol w:w="1100"/>
        <w:gridCol w:w="1600"/>
      </w:tblGrid>
      <w:tr>
        <w:trPr>
          <w:tblHeader/>
        </w:trPr>
        <w:tc>
          <w:tcPr>
            <w:tcW w:type="dxa" w:w="3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Rank</w:t>
            </w:r>
          </w:p>
        </w:tc>
        <w:tc>
          <w:tcPr>
            <w:tcW w:type="dxa" w:w="2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w:t>
            </w:r>
          </w:p>
        </w:tc>
        <w:tc>
          <w:tcPr>
            <w:tcW w:type="dxa" w:w="2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1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home_pq_pm_per_min_r10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lineup-weighted plus-minus per minute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+ 0.640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6.1%</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home_net_rtg_r10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net rating: off rating minus def rating per 100 possessions (10-game)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+ 0.658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2.2%</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5.4%</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away_pq_pm_per_min_r10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lineup-weighted plus-minus per minute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− 0.364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4.8%</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away_pq_dreb_pct_r10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lineup-weighted defensive rebound % (10-game)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− 0.703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4.7%</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home_margin_r10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average scoring margin over last 10 games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+ 0.545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4.5%</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6</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away_win_pct_r10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win percentage over last 10 games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− 0.234</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4.0%</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7</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away_net_rtg_r10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net rating per 100 possessions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− 0.359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4.0%</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away_pq_pm_per_min_r5</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lineup-weighted plus-minus per minute (5-game, fast)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− 0.206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away_pq_ast_pct_r10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lineup-weighted assist % — ball-movement quality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− 0.571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3.9%</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home_pq_dreb_pct_r10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lineup-weighted defensive rebound % (10-game)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+ 0.526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home_win_pct_r10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win percentage over last 10 games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+ 0.379</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3.8%</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home_dft_pct_r10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free throw rate allowed to opponents (10-game)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− 0.451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3.5%</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home_pq_ast_pct_r10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lineup-weighted assist %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+ 0.472</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3.3%</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away_ofg_pct_r10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offensive field goal % (10-game)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− 0.412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3.1%</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away_oto_pct_r10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own turnover rate — turnovers per possession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+ 0.395</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3.1%</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16</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away_pq_ts_pct_r10</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lineup-weighted true shooting % (10-game)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− 0.381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17</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away_pq_efg_pct_r10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lineup-weighted effective FG %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− 0.357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2.8%</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away_oto_pct_r5</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own turnover rate (5-game, fast)</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+ 0.381</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r>
      <w:tr>
        <w:tc>
          <w:tcPr>
            <w:tcW w:type="dxa" w:w="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19</w:t>
            </w:r>
          </w:p>
        </w:tc>
        <w:tc>
          <w:tcPr>
            <w:tcW w:type="dxa" w:w="2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away_pq_usg_pct_r10</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lineup-weighted usage rate (10-game)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− 0.263</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2.8%</w:t>
            </w:r>
          </w:p>
        </w:tc>
      </w:tr>
      <w:tr>
        <w:tc>
          <w:tcPr>
            <w:tcW w:type="dxa" w:w="3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20</w:t>
            </w:r>
          </w:p>
        </w:tc>
        <w:tc>
          <w:tcPr>
            <w:tcW w:type="dxa" w:w="23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away_oast_pct_r5</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assist rate on offensive possessions (5-game)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− 0.358</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2.6%</w:t>
            </w:r>
          </w:p>
        </w:tc>
      </w:tr>
    </w:tbl>
    <w:p>
      <w:r>
        <w:br w:type="page"/>
      </w:r>
    </w:p>
    <w:p>
      <w:pPr>
        <w:pStyle w:val="Heading1"/>
        <w:spacing w:after="200" w:before="0"/>
      </w:pPr>
      <w:r>
        <w:rPr>
          <w:rFonts w:ascii="Arial" w:cs="Arial" w:eastAsia="Arial" w:hAnsi="Arial"/>
          <w:b/>
          <w:bCs/>
          <w:color w:val="1F3864"/>
          <w:sz w:val="32"/>
          <w:szCs w:val="32"/>
        </w:rPr>
        <w:t xml:space="preserve">3. All Features by Category</w:t>
      </w:r>
    </w:p>
    <w:p>
      <w:pPr>
        <w:spacing w:after="60" w:before="60"/>
      </w:pPr>
      <w:r>
        <w:rPr>
          <w:rFonts w:ascii="Arial" w:cs="Arial" w:eastAsia="Arial" w:hAnsi="Arial"/>
          <w:sz w:val="20"/>
          <w:szCs w:val="20"/>
        </w:rPr>
        <w:t xml:space="preserve">Below, all 100 features are organized by the type of information they capture. For each feature, the Direction column shows the sign of the Ridge coefficient: [+HOME] means the variable predicts a higher home margin; [−AWAY] means it predicts a lower home margin (advantage to the away team).</w:t>
      </w:r>
    </w:p>
    <w:p>
      <w:pPr>
        <w:spacing w:after="60" w:before="60"/>
      </w:pPr>
      <w:r>
        <w:t xml:space="preserve"/>
      </w:r>
    </w:p>
    <w:p>
      <w:pPr>
        <w:pStyle w:val="Heading2"/>
        <w:spacing w:after="120" w:before="280"/>
      </w:pPr>
      <w:r>
        <w:rPr>
          <w:rFonts w:ascii="Arial" w:cs="Arial" w:eastAsia="Arial" w:hAnsi="Arial"/>
          <w:b/>
          <w:bCs/>
          <w:color w:val="2E75B6"/>
          <w:sz w:val="26"/>
          <w:szCs w:val="26"/>
        </w:rPr>
        <w:t xml:space="preserve">3A.  Player Quality Features  (pq_)  —  36 features</w:t>
      </w:r>
    </w:p>
    <w:p>
      <w:pPr>
        <w:spacing w:after="60" w:before="60"/>
      </w:pPr>
      <w:r>
        <w:rPr>
          <w:rFonts w:ascii="Arial" w:cs="Arial" w:eastAsia="Arial" w:hAnsi="Arial"/>
          <w:sz w:val="20"/>
          <w:szCs w:val="20"/>
        </w:rPr>
        <w:t xml:space="preserve">These are the most predictive features in the model. Rather than using raw team box scores, pq_ stats are computed by weighting each player's individual statistics by their recent minutes share within the team's active rotation. This means if a star player gets injured and a reserve plays more, the stat immediately reflects the quality drop — faster than a simple team rolling average would capture. The model uses nine pq_ statistics for each side, at two rolling windows each (r5 and r10), giving 9 × 2 × 2 = 36 features total.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home_pq_pm_per_min_r10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plus-minus per minute played (10-game). Captures overall on-court impact of the current rotation relative to opponents faced.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+ 0.640</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6.1%</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home_pq_pm_per_min_r5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Same as above, 5-game window. Faster-reacting signal for recent hot/cold streaks.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+ 0.221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away_pq_pm_per_min_r10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 — high value means the away rotation is dominant.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− 0.364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away_pq_pm_per_min_r5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 — most sensitive to very recent roster/injury changes.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− 0.206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3.9%</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home_pq_dreb_pct_r10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defensive rebound %. A high value means the home rotation dominates the defensive glass — second chances denied.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+ 0.526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3.9%</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home_pq_dreb_pct_r5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+ 0.179</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away_pq_dreb_pct_r10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 High value = away team controls defensive boards; harder for home to score in transition.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− 0.703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4.7%</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away_pq_dreb_pct_r5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− 0.219</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home_pq_ast_pct_r10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assist %. Measures ball movement quality — teams that share the ball efficiently create better shots.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+ 0.472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3.3%</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home_pq_ast_pct_r5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0.1%</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away_pq_ast_pct_r10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 High assist rate signals a cohesive offense that will be hard to defend.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− 0.571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3.9%</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away_pq_ast_pct_r5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− 0.131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home_pq_ts_pct_r10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true shooting %. TS% is the gold-standard shooting efficiency metric: accounts for 2-pt FGs, 3-pt FGs, and free throws in a single number.</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1.6%</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home_pq_ts_pct_r5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+ 0.038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away_pq_ts_pct_r10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− 0.381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away_pq_ts_pct_r5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 Note: coef flips sign — edge cases where shooting surged briefly.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+ 0.206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1.6%</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home_pq_efg_pct_r10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effective field goal %. eFG% adjusts for the fact that 3-pointers are worth 1.5× as many points per shot as 2-pointers.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− 0.038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home_pq_efg_pct_r5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− 0.127</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away_pq_efg_pct_r10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− 0.357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away_pq_efg_pct_r5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+ 0.180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home_pq_usg_pct_r10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usage rate. Usage = % of team possessions used by a player while on the floor. High usage in the rotation = star-heavy team.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2.3%</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home_pq_usg_pct_r5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away_pq_usg_pct_r10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− 0.263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away_pq_usg_pct_r5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+ 0.216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2.6%</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home_pq_tov_pct_r10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turnover %. Turnovers directly subtract possessions — high rate hurts scoring efficiency.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home_pq_tov_pct_r5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+ 0.028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away_pq_tov_pct_r10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 When the away team is turnover-prone, home team benefits.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+ 0.234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away_pq_tov_pct_r5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+ 0.242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home_pq_oreb_pct_r10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offensive rebound %. Second-chance points are a major source of variance in close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+ 0.109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home_pq_oreb_pct_r5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+ 0.008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away_pq_oreb_pct_r10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− 0.156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away_pq_oreb_pct_r5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home_pq_ft_rate_r10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players' weighted avg free throw rate (FTA/FGA). Getting to the line is low-variance scoring; high rate = advantageous shot diet.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− 0.142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home_pq_ft_rate_r5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− 0.028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away_pq_ft_rate_r10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− 0.063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away_pq_ft_rate_r5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+ 0.269</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2.2%</w:t>
            </w:r>
          </w:p>
        </w:tc>
      </w:tr>
    </w:tbl>
    <w:p>
      <w:r>
        <w:br w:type="page"/>
      </w:r>
    </w:p>
    <w:p>
      <w:pPr>
        <w:pStyle w:val="Heading2"/>
        <w:spacing w:after="120" w:before="280"/>
      </w:pPr>
      <w:r>
        <w:rPr>
          <w:rFonts w:ascii="Arial" w:cs="Arial" w:eastAsia="Arial" w:hAnsi="Arial"/>
          <w:b/>
          <w:bCs/>
          <w:color w:val="2E75B6"/>
          <w:sz w:val="26"/>
          <w:szCs w:val="26"/>
        </w:rPr>
        <w:t xml:space="preserve">3B.  Net Rating  (net_rtg)  —  6 features</w:t>
      </w:r>
    </w:p>
    <w:p>
      <w:pPr>
        <w:spacing w:after="60" w:before="60"/>
      </w:pPr>
      <w:r>
        <w:rPr>
          <w:rFonts w:ascii="Arial" w:cs="Arial" w:eastAsia="Arial" w:hAnsi="Arial"/>
          <w:sz w:val="20"/>
          <w:szCs w:val="20"/>
        </w:rPr>
        <w:t xml:space="preserve">Net rating = offensive rating minus defensive rating, measured per 100 possessions. It is the single best summary statistic of team quality because it captures both ends of the floor on a common scale. A team with a net rating of +8 is considered excellent; −8 is very poor. The model uses r5, r10, and two EWMA windows for both home and away, though the most predictive versions are the r10 windows.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home_net_rtg_r10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net rating (off − def per 100 poss.) over last 10 games. The #2 overall feature — best single-number summary of recent home team quality.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+ 0.658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5.4%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home_net_rtg_r5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Same, 5-game window. Faster to react to hot/cold stretches.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+ 0.224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away_net_rtg_r10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version. Strong away net rating suppresses predicted home margin.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− 0.359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4.0%</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away_net_rtg_r5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5-game version.</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− 0.219</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2.4%</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home_ewma_efg_s5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exponentially-weighted eFG% (span=5). Faster decay than r5 — gives very recent games extra emphasis on shooting efficiency.</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+ 0.137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1.7%</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home_ewma_efg_s10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exponentially-weighted eFG% (span=10). Smoothed long-run shooting trend.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away_ewma_efg_s5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exponentially-weighted eFG% (span=5).</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− 0.033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away_ewma_efg_s10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exponentially-weighted eFG% (span=10). One of the stronger XGBoost features — non-linear threshold effects in shooting consistency.</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− 0.123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2.1%</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3C.  Win Percentage &amp; Scoring Margin  —  6 features</w:t>
      </w:r>
    </w:p>
    <w:p>
      <w:pPr>
        <w:spacing w:after="60" w:before="60"/>
      </w:pPr>
      <w:r>
        <w:rPr>
          <w:rFonts w:ascii="Arial" w:cs="Arial" w:eastAsia="Arial" w:hAnsi="Arial"/>
          <w:sz w:val="20"/>
          <w:szCs w:val="20"/>
        </w:rPr>
        <w:t xml:space="preserve">These are the simplest team-quality measures: how often a team wins and by how much. Though straightforward, they capture team quality signals that complement the efficiency metrics above — a team can have a healthy net rating but still lose close games, or vice versa. The margin features include overtime and blowouts, so they're noisier than net rating but cheaper to compute.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home_win_pct_r10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win % over last 10 games. A direct recent-form signal — teams on winning streaks tend to carry momentum.</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+ 0.379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home_win_pct_r5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win % over last 5 games. Fast-reacting but only 5 observations = high variance.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+ 0.015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0.1%</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away_win_pct_r10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win % over last 10 games. Strong away form is one of the top predictors of road success.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− 0.234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4.0%</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away_win_pct_r5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win % over last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− 0.165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2.4%</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home_margin_r10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average point margin over last 10 games (positive = winning by more).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+ 0.545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4.5%</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home_margin_r5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average margin over last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+ 0.108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away_margin_r10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average margin over last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− 0.257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2.6%</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away_margin_r5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average margin over last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− 0.122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1.9%</w:t>
            </w:r>
          </w:p>
        </w:tc>
      </w:tr>
    </w:tbl>
    <w:p>
      <w:r>
        <w:br w:type="page"/>
      </w:r>
    </w:p>
    <w:p>
      <w:pPr>
        <w:pStyle w:val="Heading2"/>
        <w:spacing w:after="120" w:before="280"/>
      </w:pPr>
      <w:r>
        <w:rPr>
          <w:rFonts w:ascii="Arial" w:cs="Arial" w:eastAsia="Arial" w:hAnsi="Arial"/>
          <w:b/>
          <w:bCs/>
          <w:color w:val="2E75B6"/>
          <w:sz w:val="26"/>
          <w:szCs w:val="26"/>
        </w:rPr>
        <w:t xml:space="preserve">3D.  Team-Level Shooting Efficiency  (ofg_, dfg_)  —  8 features</w:t>
      </w:r>
    </w:p>
    <w:p>
      <w:pPr>
        <w:spacing w:after="60" w:before="60"/>
      </w:pPr>
      <w:r>
        <w:rPr>
          <w:rFonts w:ascii="Arial" w:cs="Arial" w:eastAsia="Arial" w:hAnsi="Arial"/>
          <w:sz w:val="20"/>
          <w:szCs w:val="20"/>
        </w:rPr>
        <w:t xml:space="preserve">These are traditional team-level field goal percentages — not player-quality-weighted. ofg_pct is the team's own shooting percentage on offense. dfg_pct is the opponent's shooting percentage against the team's defense. These are simpler than eFG% or TS% but still informative, particularly for the away team's offensive efficiency where the XGBoost model finds non-linear splits.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away_ofg_pct_r10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offensive FG% over last 10 games. The away team's raw shooting accuracy is one of the top predictors of whether they can win on the road.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− 0.412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3.1%</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away_ofg_pct_r5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offensive FG% over last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− 0.102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home_ofg_pct_r10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offensive FG% over last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+ 0.184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1.6%</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home_ofg_pct_r5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offensive FG% over last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+ 0.066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home_dfg_pct_r10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defensive FG% allowed (opponent shooting %) over last 10 games. Excellent home defense = lower opponent FG% = bigger margins.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− 0.206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1.7%</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home_dfg_pct_r5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defensive FG% allowed over last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+ 0.051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away_dfg_pct_r10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defensive FG% allowed over last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away_dfg_pct_r5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defensive FG% allowed over last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+ 0.030</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3E.  Team-Level Rebounding  (orb_pct, drb_pct)  —  8 features</w:t>
      </w:r>
    </w:p>
    <w:p>
      <w:pPr>
        <w:spacing w:after="60" w:before="60"/>
      </w:pPr>
      <w:r>
        <w:rPr>
          <w:rFonts w:ascii="Arial" w:cs="Arial" w:eastAsia="Arial" w:hAnsi="Arial"/>
          <w:sz w:val="20"/>
          <w:szCs w:val="20"/>
        </w:rPr>
        <w:t xml:space="preserve">Rebounding rate measures the share of available rebounds a team secures. orb_pct (offensive rebound %) and drb_pct (defensive rebound %) are team-level, distinct from the player-quality rebound features above. Note that some sign directions here may seem counterintuitive — for example, a high home offensive rebound rate can correlate with poor shooting (more misses = more chances to rebound), which is why XGBoost captures non-linear interactions.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home_drb_pct_r10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defensive rebound rate (share of missed shots they rebound) over 10 games. Dominant defensive rebounding limits opponent second-chance opportunities.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+ 0.331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home_drb_pct_r5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defensive rebound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+ 0.128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away_drb_pct_r10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defensive rebound rate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− 0.265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2.0%</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away_drb_pct_r5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defensive rebound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+ 0.027</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home_orb_pct_r10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offensive rebound rate over 10 games. Counterintuitively negative Ridge sign — likely correlated with worse shooting (more misses = more offensive rebounds).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home_orb_pct_r5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offensive rebound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− 0.247</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away_orb_pct_r10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offensive rebound rate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+ 0.152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away_orb_pct_r5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offensive rebound rate over 5 games. High away offensive rebounding = more away possessions = fewer home wins.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− 0.256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r>
    </w:tbl>
    <w:p>
      <w:r>
        <w:br w:type="page"/>
      </w:r>
    </w:p>
    <w:p>
      <w:pPr>
        <w:pStyle w:val="Heading2"/>
        <w:spacing w:after="120" w:before="280"/>
      </w:pPr>
      <w:r>
        <w:rPr>
          <w:rFonts w:ascii="Arial" w:cs="Arial" w:eastAsia="Arial" w:hAnsi="Arial"/>
          <w:b/>
          <w:bCs/>
          <w:color w:val="2E75B6"/>
          <w:sz w:val="26"/>
          <w:szCs w:val="26"/>
        </w:rPr>
        <w:t xml:space="preserve">3F.  Assist Rate  (oast_pct, dast_pct)  —  8 features</w:t>
      </w:r>
    </w:p>
    <w:p>
      <w:pPr>
        <w:spacing w:after="60" w:before="60"/>
      </w:pPr>
      <w:r>
        <w:rPr>
          <w:rFonts w:ascii="Arial" w:cs="Arial" w:eastAsia="Arial" w:hAnsi="Arial"/>
          <w:sz w:val="20"/>
          <w:szCs w:val="20"/>
        </w:rPr>
        <w:t xml:space="preserve">oast_pct is the team's own assist rate — the proportion of made field goals assisted. A high rate means the team creates shots through ball movement rather than isolation. dast_pct is the opponent's assist rate against the team's defense — a high number means the defense allows the opposition to move the ball freely.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home_dast_pct_r10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Assist rate allowed by home defense (opponents) over last 10 games. Lower = home defense disrupts ball movement.</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+ 0.307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home_dast_pct_r5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dast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+ 0.095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away_dast_pct_r10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Assist rate allowed by away team's defense over last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− 0.079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away_dast_pct_r5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assist rate allowed over 5 games. When the away defense is stingy with opponent assists, the home team has less flow.</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+ 0.288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home_oast_pct_r10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own assist rate over last 10 games — how often their baskets are assisted.</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+ 0.176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1.6%</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home_oast_pct_r5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assist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− 0.117</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away_oast_pct_r10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own assist rate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− 0.224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1.9%</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away_oast_pct_r5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assist rate over 5 games. Sharp assist teams are efficient on the road.</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− 0.358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2.6%</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3G.  Turnover Rate  (oto_pct, dto_pct)  —  8 features</w:t>
      </w:r>
    </w:p>
    <w:p>
      <w:pPr>
        <w:spacing w:after="60" w:before="60"/>
      </w:pPr>
      <w:r>
        <w:rPr>
          <w:rFonts w:ascii="Arial" w:cs="Arial" w:eastAsia="Arial" w:hAnsi="Arial"/>
          <w:sz w:val="20"/>
          <w:szCs w:val="20"/>
        </w:rPr>
        <w:t xml:space="preserve">oto_pct = own turnover % (turnovers per offensive possession). dto_pct = opponent turnover % forced by the team's defense. Turnovers are high-leverage events: they stop a scoring possession and can trigger fast-break points. The 'o' prefix means own, the 'd' prefix means defensive (forced).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away_oto_pct_r10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own turnover rate over 10 games. When the away team turns it over frequently, the home team gets extra possessions.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+ 0.395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3.1%</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away_oto_pct_r5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turnover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+ 0.381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2.9%</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home_dto_pct_r10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defensive turnover % forced over 10 games — how well the home defense forces turnovers.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+ 0.308</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home_dto_pct_r5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forced-turnover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+ 0.184</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1.6%</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away_dto_pct_r10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forced-turnover rate on defense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− 0.229</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2.0%</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away_dto_pct_r5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forced-turnover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− 0.172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home_oto_pct_r5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own turnover rate over 5 games. When the home team is sloppy, margin suffers.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+ 0.197</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1.7%</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home_oto_pct_r10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turnover rate over 10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− 0.123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bl>
    <w:p>
      <w:r>
        <w:br w:type="page"/>
      </w:r>
    </w:p>
    <w:p>
      <w:pPr>
        <w:pStyle w:val="Heading2"/>
        <w:spacing w:after="120" w:before="280"/>
      </w:pPr>
      <w:r>
        <w:rPr>
          <w:rFonts w:ascii="Arial" w:cs="Arial" w:eastAsia="Arial" w:hAnsi="Arial"/>
          <w:b/>
          <w:bCs/>
          <w:color w:val="2E75B6"/>
          <w:sz w:val="26"/>
          <w:szCs w:val="26"/>
        </w:rPr>
        <w:t xml:space="preserve">3H.  Free Throw Rate  (oft_pct, dft_pct)  —  8 features</w:t>
      </w:r>
    </w:p>
    <w:p>
      <w:pPr>
        <w:spacing w:after="60" w:before="60"/>
      </w:pPr>
      <w:r>
        <w:rPr>
          <w:rFonts w:ascii="Arial" w:cs="Arial" w:eastAsia="Arial" w:hAnsi="Arial"/>
          <w:sz w:val="20"/>
          <w:szCs w:val="20"/>
        </w:rPr>
        <w:t xml:space="preserve">oft_pct = free throw rate (FTA/FGA) on offense. dft_pct = free throw rate allowed on defense (opponent FTA/FGA). Getting to the foul line is a sign of aggressive, advantage-creating offense; allowing it signals a foul-prone defense. Free throws are the lowest-variance scoring in basketball — no defense, no shot clock.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home_dft_pct_r10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Free throw rate allowed by home defense over 10 games. When the home team fouls frequently, the away team scores easy points at the line.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− 0.451</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3.5%</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away_pq_ft_rate_r5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player-quality-weighted FT rate over 5 games. Rotation players who draw fouls consistently = sustainable advantage.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+ 0.269</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home_pq_ft_rate_r10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player-quality-weighted FT rate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− 0.142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away_dft_pct_r10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defensive FT rate allowed over 10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+ 0.352</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2.5%</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away_dft_pct_r5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defensive FT rate allowed over 5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+ 0.125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1.3%</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away_oft_pct_r5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offensive FT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− 0.235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away_oft_pct_r10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offensive FT rate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− 0.046</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home_oft_pct_r5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offensive FT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+ 0.026</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home_oft_pct_r10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offensive FT rate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− 0.023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home_dft_pct_r5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defensive FT rate allowed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+ 0.038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away_pq_ft_rate_r10</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 player-quality-weighted FT rate over 10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− 0.063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home_pq_ft_rate_r5</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player-quality-weighted FT rate over 5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− 0.028</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3I.  Pace  —  4 features</w:t>
      </w:r>
    </w:p>
    <w:p>
      <w:pPr>
        <w:spacing w:after="60" w:before="60"/>
      </w:pPr>
      <w:r>
        <w:rPr>
          <w:rFonts w:ascii="Arial" w:cs="Arial" w:eastAsia="Arial" w:hAnsi="Arial"/>
          <w:sz w:val="20"/>
          <w:szCs w:val="20"/>
        </w:rPr>
        <w:t xml:space="preserve">Pace = estimated possessions per 48 minutes. Higher pace means more total possessions, which compresses variance (more trials = outcomes closer to expected value) but also amplifies the impact of turnover-prone or efficient teams. Pace matters primarily as an interaction — a fast-paced game between two efficient teams will favor the higher-quality team more than a slow, defensive game would.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home_pace_r5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team's possessions per 48 min over last 5 games. When the home team plays at a faster pace, total scoring increases.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− 0.202</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home_pace_r10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 team pace over last 10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− 0.015</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away_pace_r5</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pace over last 5 games.</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− 0.135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away_pace_r10</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 team's pace over last 10 games.</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− 0.061</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0.9%</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1.2%</w:t>
            </w:r>
          </w:p>
        </w:tc>
      </w:tr>
    </w:tbl>
    <w:p>
      <w:pPr>
        <w:spacing w:after="60" w:before="60"/>
      </w:pPr>
      <w:r>
        <w:t xml:space="preserve"/>
      </w:r>
    </w:p>
    <w:p>
      <w:pPr>
        <w:pStyle w:val="Heading2"/>
        <w:spacing w:after="120" w:before="280"/>
      </w:pPr>
      <w:r>
        <w:rPr>
          <w:rFonts w:ascii="Arial" w:cs="Arial" w:eastAsia="Arial" w:hAnsi="Arial"/>
          <w:b/>
          <w:bCs/>
          <w:color w:val="2E75B6"/>
          <w:sz w:val="26"/>
          <w:szCs w:val="26"/>
        </w:rPr>
        <w:t xml:space="preserve">3J.  Situational Factors  (rest, back-to-back)  —  4 features</w:t>
      </w:r>
    </w:p>
    <w:p>
      <w:pPr>
        <w:spacing w:after="60" w:before="60"/>
      </w:pPr>
      <w:r>
        <w:rPr>
          <w:rFonts w:ascii="Arial" w:cs="Arial" w:eastAsia="Arial" w:hAnsi="Arial"/>
          <w:sz w:val="20"/>
          <w:szCs w:val="20"/>
        </w:rPr>
        <w:t xml:space="preserve">These features capture scheduling context rather than performance. They are among the few non-rolling features and apply at the game level. Rest effects are well-documented in professional basketball: teams with fewer days of recovery play worse, and back-to-back games (playing on consecutive nights) are particularly taxing.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1000"/>
        <w:gridCol w:w="900"/>
        <w:gridCol w:w="900"/>
        <w:gridCol w:w="1260"/>
      </w:tblGrid>
      <w:tr>
        <w:trPr>
          <w:tblHeader/>
        </w:trPr>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Name</w:t>
            </w:r>
          </w:p>
        </w:tc>
        <w:tc>
          <w:tcPr>
            <w:tcW w:type="dxa" w:w="3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What It Measures</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Direction</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Ridge Coef</w:t>
            </w:r>
          </w:p>
        </w:tc>
        <w:tc>
          <w:tcPr>
            <w:tcW w:type="dxa" w:w="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XGB%</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Combined%</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away_days_rest</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Number of days since the away team's previous game. Rested road teams perform better; fatigued away teams give up more margin.</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+ 0.264</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2.3%</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home_days_rest</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Number of days since the home team's previous game. More rest for the home team narrows the typical home advantage.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− 0.093</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0.6%</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1.1%</w:t>
            </w:r>
          </w:p>
        </w:tc>
      </w:tr>
      <w:tr>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away_b2b</w:t>
            </w:r>
          </w:p>
        </w:tc>
        <w:tc>
          <w:tcPr>
            <w:tcW w:type="dxa" w:w="3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Binary flag: 1 if the away team is playing the second game of a back-to-back (two games in two nights). Strongly associated with away fatigue and reduced performance.</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+ 0.215</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0.0%</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r>
      <w:tr>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home_b2b</w:t>
            </w:r>
          </w:p>
        </w:tc>
        <w:tc>
          <w:tcPr>
            <w:tcW w:type="dxa" w:w="3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Binary flag: 1 if the home team is on a back-to-back. Home teams on back-to-backs lose some of their home court edge.</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+HOME</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− 0.139</w:t>
            </w:r>
          </w:p>
        </w:tc>
        <w:tc>
          <w:tcPr>
            <w:tcW w:type="dxa" w:w="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0.7%</w:t>
            </w:r>
          </w:p>
        </w:tc>
      </w:tr>
    </w:tbl>
    <w:p>
      <w:r>
        <w:br w:type="page"/>
      </w:r>
    </w:p>
    <w:p>
      <w:pPr>
        <w:pStyle w:val="Heading1"/>
        <w:spacing w:after="200" w:before="0"/>
      </w:pPr>
      <w:r>
        <w:rPr>
          <w:rFonts w:ascii="Arial" w:cs="Arial" w:eastAsia="Arial" w:hAnsi="Arial"/>
          <w:b/>
          <w:bCs/>
          <w:color w:val="1F3864"/>
          <w:sz w:val="32"/>
          <w:szCs w:val="32"/>
        </w:rPr>
        <w:t xml:space="preserve">4. What the Model Does Not Use</w:t>
      </w:r>
    </w:p>
    <w:p>
      <w:pPr>
        <w:spacing w:after="60" w:before="60"/>
      </w:pPr>
      <w:r>
        <w:rPr>
          <w:rFonts w:ascii="Arial" w:cs="Arial" w:eastAsia="Arial" w:hAnsi="Arial"/>
          <w:sz w:val="20"/>
          <w:szCs w:val="20"/>
        </w:rPr>
        <w:t xml:space="preserve">Understanding the exclusions is as important as understanding the inclusions — these choices prevent data leakage and preserve the integrity of the backtest.</w:t>
      </w:r>
    </w:p>
    <w:p>
      <w:pPr>
        <w:spacing w:after="60" w:before="60"/>
      </w:pPr>
      <w:r>
        <w:t xml:space="preserve"/>
      </w:r>
    </w:p>
    <w:p>
      <w:pPr>
        <w:spacing w:after="60" w:before="60"/>
      </w:pPr>
      <w:r>
        <w:rPr>
          <w:rFonts w:ascii="Arial" w:cs="Arial" w:eastAsia="Arial" w:hAnsi="Arial"/>
          <w:sz w:val="20"/>
          <w:szCs w:val="20"/>
        </w:rPr>
        <w:t xml:space="preserve">The closing spread is never used in training. The model predicts raw margin (points). The spread is only introduced post-hoc to compute edge (edge = prediction − spread) and evaluate ATS performance. This is critical: if the spread were a training feature, the model would overfit to Vegas lines rather than learning from game data independently.</w:t>
      </w:r>
    </w:p>
    <w:p>
      <w:pPr>
        <w:spacing w:after="60" w:before="60"/>
      </w:pPr>
      <w:r>
        <w:t xml:space="preserve"/>
      </w:r>
    </w:p>
    <w:p>
      <w:pPr>
        <w:spacing w:after="60" w:before="60"/>
      </w:pPr>
      <w:r>
        <w:rPr>
          <w:rFonts w:ascii="Arial" w:cs="Arial" w:eastAsia="Arial" w:hAnsi="Arial"/>
          <w:sz w:val="20"/>
          <w:szCs w:val="20"/>
        </w:rPr>
        <w:t xml:space="preserve">Future information is never used. All rolling windows use strict temporal cuts: only games that occurred before the current game date are included. There are no look-ahead biases.</w:t>
      </w:r>
    </w:p>
    <w:p>
      <w:pPr>
        <w:spacing w:after="60" w:before="60"/>
      </w:pPr>
      <w:r>
        <w:t xml:space="preserve"/>
      </w:r>
    </w:p>
    <w:p>
      <w:pPr>
        <w:spacing w:after="60" w:before="60"/>
      </w:pPr>
      <w:r>
        <w:rPr>
          <w:rFonts w:ascii="Arial" w:cs="Arial" w:eastAsia="Arial" w:hAnsi="Arial"/>
          <w:sz w:val="20"/>
          <w:szCs w:val="20"/>
        </w:rPr>
        <w:t xml:space="preserve">Season totals and cumulative stats are excluded in favor of rolling windows. Season averages weight early-season games equally with recent ones, creating stale signals. Rolling windows are more predictive of current team quality.</w:t>
      </w:r>
    </w:p>
    <w:p>
      <w:pPr>
        <w:spacing w:after="60" w:before="60"/>
      </w:pPr>
      <w:r>
        <w:t xml:space="preserve"/>
      </w:r>
    </w:p>
    <w:p>
      <w:pPr>
        <w:spacing w:after="60" w:before="60"/>
      </w:pPr>
      <w:r>
        <w:rPr>
          <w:rFonts w:ascii="Arial" w:cs="Arial" w:eastAsia="Arial" w:hAnsi="Arial"/>
          <w:sz w:val="20"/>
          <w:szCs w:val="20"/>
        </w:rPr>
        <w:t xml:space="preserve">Absolute player identities (names, team IDs) are not features. The model uses behavioral aggregates, not entity flags, which would cause overfitting on historical team-specific patterns.</w:t>
      </w:r>
    </w:p>
    <w:p>
      <w:pPr>
        <w:spacing w:after="60" w:before="60"/>
      </w:pPr>
      <w:r>
        <w:t xml:space="preserve"/>
      </w:r>
    </w:p>
    <w:p>
      <w:pPr>
        <w:spacing w:after="60" w:before="60"/>
      </w:pPr>
      <w:r>
        <w:rPr>
          <w:rFonts w:ascii="Arial" w:cs="Arial" w:eastAsia="Arial" w:hAnsi="Arial"/>
          <w:sz w:val="20"/>
          <w:szCs w:val="20"/>
        </w:rPr>
        <w:t xml:space="preserve">Lineup disruption (injury signals) are intentionally excluded from the core model. Extensive testing showed that adding lineup disruption features as model inputs hurt ATS performance: the closing spread already prices in known injuries, so agreeing with the market compresses edge. Instead, lineup data is applied as a post-prediction filter layer (see the Lineup Filter section of the Working Paper).</w:t>
      </w:r>
    </w:p>
    <w:p>
      <w:r>
        <w:br w:type="page"/>
      </w:r>
    </w:p>
    <w:p>
      <w:pPr>
        <w:pStyle w:val="Heading1"/>
        <w:spacing w:after="200" w:before="0"/>
      </w:pPr>
      <w:r>
        <w:rPr>
          <w:rFonts w:ascii="Arial" w:cs="Arial" w:eastAsia="Arial" w:hAnsi="Arial"/>
          <w:b/>
          <w:bCs/>
          <w:color w:val="1F3864"/>
          <w:sz w:val="32"/>
          <w:szCs w:val="32"/>
        </w:rPr>
        <w:t xml:space="preserve">5. Feature Group Weight Summary</w:t>
      </w:r>
    </w:p>
    <w:p>
      <w:pPr>
        <w:spacing w:after="60" w:before="60"/>
      </w:pPr>
      <w:r>
        <w:rPr>
          <w:rFonts w:ascii="Arial" w:cs="Arial" w:eastAsia="Arial" w:hAnsi="Arial"/>
          <w:sz w:val="20"/>
          <w:szCs w:val="20"/>
        </w:rPr>
        <w:t xml:space="preserve">The table below aggregates combined importance across each feature category to show where the model's predictive power comes from overall.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260"/>
        <w:gridCol w:w="1400"/>
        <w:gridCol w:w="140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 Category</w:t>
            </w:r>
          </w:p>
        </w:tc>
        <w:tc>
          <w:tcPr>
            <w:tcW w:type="dxa" w:w="25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Count</w:t>
            </w:r>
          </w:p>
        </w:tc>
        <w:tc>
          <w:tcPr>
            <w:tcW w:type="dxa" w:w="12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Features</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Approx. Combined %</w:t>
            </w:r>
          </w:p>
        </w:tc>
        <w:tc>
          <w:tcPr>
            <w:tcW w:type="dxa" w:w="1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pPr>
              <w:jc w:val="left"/>
            </w:pPr>
            <w:r>
              <w:rPr>
                <w:rFonts w:ascii="Arial" w:cs="Arial" w:eastAsia="Arial" w:hAnsi="Arial"/>
                <w:b/>
                <w:bCs/>
                <w:color w:val="FFFFFF"/>
                <w:sz w:val="17"/>
                <w:szCs w:val="17"/>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Player Quality  (pq_)</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36</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pm_per_min, dreb%, ast%, ts%, efg%, usg%, tov%, oreb%, ft_rate</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~37%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Most predictive category; reflects current roster quality with injury sensitivity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Net Rating  (net_rtg, ewma_efg)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net_rtg r5/r10, ewma_efg s5/s10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~18%</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Best single-number quality summary; EWMA version adds smoothed shooting trend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Win % &amp; Scoring Margin</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win_pct r5/r10, margin r5/r10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~14%</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Simple but powerful; captures recent form and consistency</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Team Shooting  (ofg%, dfg%)</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ofg_pct r5/r10, dfg_pct r5/r10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Raw field goal % on offense and defense; complements TS%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Team Rebounding  (orb%, drb%)</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orb_pct r5/r10, drb_pct r5/r10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~7%</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Board control determines extra possessions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Assist Rate  (oast%, dast%)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oast_pct r5/r10, dast_pct r5/r10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~6%</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Ball movement quality; offensive and defensive</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Turnover Rate  (oto%, dto%)</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oto_pct r5/r10, dto_pct r5/r10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Possession preservation; forced turnovers = transition points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Free Throw Rate  (oft%, dft%)</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8</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oft_pct r5/r10, dft_pct r5/r10</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~5%</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Foul tendency and foul-drawing ability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Pace</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w:t>
            </w:r>
          </w:p>
        </w:tc>
        <w:tc>
          <w:tcPr>
            <w:tcW w:type="dxa" w:w="12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pace_r5, pace_r10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Possessions per 48 min; primarily an interaction modifier</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Situational  (rest, b2b)</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4</w:t>
            </w:r>
          </w:p>
        </w:tc>
        <w:tc>
          <w:tcPr>
            <w:tcW w:type="dxa" w:w="12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days_rest, b2b</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~2%</w:t>
            </w:r>
          </w:p>
        </w:tc>
        <w:tc>
          <w:tcPr>
            <w:tcW w:type="dxa" w:w="1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jc w:val="left"/>
            </w:pPr>
            <w:r>
              <w:rPr>
                <w:rFonts w:ascii="Arial" w:cs="Arial" w:eastAsia="Arial" w:hAnsi="Arial"/>
                <w:b w:val="false"/>
                <w:bCs w:val="false"/>
                <w:color w:val="000000"/>
                <w:sz w:val="17"/>
                <w:szCs w:val="17"/>
              </w:rPr>
              <w:t xml:space="preserve">Schedule context; fatigue and recovery signals</w:t>
            </w:r>
          </w:p>
        </w:tc>
      </w:tr>
    </w:tbl>
    <w:p>
      <w:pPr>
        <w:spacing w:after="60" w:before="60"/>
      </w:pPr>
      <w:r>
        <w:t xml:space="preserve"/>
      </w:r>
    </w:p>
    <w:p>
      <w:pPr>
        <w:spacing w:after="60" w:before="60"/>
      </w:pPr>
      <w:r>
        <w:t xml:space="preserve"/>
      </w:r>
    </w:p>
    <w:p>
      <w:pPr>
        <w:spacing w:after="60" w:before="60"/>
      </w:pPr>
      <w:r>
        <w:rPr>
          <w:rFonts w:ascii="Arial" w:cs="Arial" w:eastAsia="Arial" w:hAnsi="Arial"/>
          <w:sz w:val="20"/>
          <w:szCs w:val="20"/>
        </w:rPr>
        <w:t xml:space="preserve">Note: Percentages are approximate and derived from the normalized sum of Ridge coefficient magnitudes and XGBoost gain across each category. They reflect the blended 50/50 Ridge + XGBoost ensemble.</w:t>
      </w:r>
    </w:p>
    <w:p>
      <w:r>
        <w:br w:type="page"/>
      </w:r>
    </w:p>
    <w:p>
      <w:pPr>
        <w:pStyle w:val="Heading1"/>
        <w:spacing w:after="200" w:before="0"/>
      </w:pPr>
      <w:r>
        <w:rPr>
          <w:rFonts w:ascii="Arial" w:cs="Arial" w:eastAsia="Arial" w:hAnsi="Arial"/>
          <w:b/>
          <w:bCs/>
          <w:color w:val="1F3864"/>
          <w:sz w:val="32"/>
          <w:szCs w:val="32"/>
        </w:rPr>
        <w:t xml:space="preserve">6. Methodology Notes</w:t>
      </w:r>
    </w:p>
    <w:p>
      <w:pPr>
        <w:pStyle w:val="Heading3"/>
        <w:spacing w:after="80" w:before="200"/>
      </w:pPr>
      <w:r>
        <w:rPr>
          <w:rFonts w:ascii="Arial" w:cs="Arial" w:eastAsia="Arial" w:hAnsi="Arial"/>
          <w:b/>
          <w:bCs/>
          <w:color w:val="1F3864"/>
          <w:sz w:val="22"/>
          <w:szCs w:val="22"/>
        </w:rPr>
        <w:t xml:space="preserve">6.1  Feature Selection (MIN_COV Filter)</w:t>
      </w:r>
    </w:p>
    <w:p>
      <w:pPr>
        <w:spacing w:after="60" w:before="60"/>
      </w:pPr>
      <w:r>
        <w:rPr>
          <w:rFonts w:ascii="Arial" w:cs="Arial" w:eastAsia="Arial" w:hAnsi="Arial"/>
          <w:sz w:val="20"/>
          <w:szCs w:val="20"/>
        </w:rPr>
        <w:t xml:space="preserve">Not every potential feature makes it into the model. Any feature with less than 70% populated values in either the training set or the test set for a given backtest fold is dropped. This prevents the model from relying on stats that are sparsely measured, particularly in early-season games where rolling windows have insufficient history.</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6.2  Missing Value Imputation</w:t>
      </w:r>
    </w:p>
    <w:p>
      <w:pPr>
        <w:spacing w:after="60" w:before="60"/>
      </w:pPr>
      <w:r>
        <w:rPr>
          <w:rFonts w:ascii="Arial" w:cs="Arial" w:eastAsia="Arial" w:hAnsi="Arial"/>
          <w:sz w:val="20"/>
          <w:szCs w:val="20"/>
        </w:rPr>
        <w:t xml:space="preserve">When a test-set game has a missing value for an included feature (e.g., a team's first game of the season), the model fills in the training-set median for that feature. This is the only allowed imputation method — no test-period statistics are used to compute imputation values, preserving temporal integrity.</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6.3  Walk-Forward Backtest</w:t>
      </w:r>
    </w:p>
    <w:p>
      <w:pPr>
        <w:spacing w:after="60" w:before="60"/>
      </w:pPr>
      <w:r>
        <w:rPr>
          <w:rFonts w:ascii="Arial" w:cs="Arial" w:eastAsia="Arial" w:hAnsi="Arial"/>
          <w:sz w:val="20"/>
          <w:szCs w:val="20"/>
        </w:rPr>
        <w:t xml:space="preserve">The model is evaluated using a walk-forward (rolling-origin) backtest with six folds covering seasons 2020 through 2025. In each fold, all available prior seasons are used for training and the upcoming season is used for testing. This mirrors how the model would actually be deployed — always trained on the past, tested on the future.</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6.4  Ensemble Design</w:t>
      </w:r>
    </w:p>
    <w:p>
      <w:pPr>
        <w:spacing w:after="60" w:before="60"/>
      </w:pPr>
      <w:r>
        <w:rPr>
          <w:rFonts w:ascii="Arial" w:cs="Arial" w:eastAsia="Arial" w:hAnsi="Arial"/>
          <w:sz w:val="20"/>
          <w:szCs w:val="20"/>
        </w:rPr>
        <w:t xml:space="preserve">The final prediction is the average of two models: Ridge regression (captures linear additive effects, stable with many features due to L2 regularization) and XGBoost (gradient-boosted trees that capture non-linear interactions and threshold effects). The Ridge model provides interpretable coefficients; XGBoost provides raw predictive power on complex interactions.</w:t>
      </w:r>
    </w:p>
    <w:p>
      <w:pPr>
        <w:spacing w:after="60" w:before="60"/>
      </w:pPr>
      <w:r>
        <w:t xml:space="preserve"/>
      </w:r>
    </w:p>
    <w:p>
      <w:pPr>
        <w:pStyle w:val="Heading3"/>
        <w:spacing w:after="80" w:before="200"/>
      </w:pPr>
      <w:r>
        <w:rPr>
          <w:rFonts w:ascii="Arial" w:cs="Arial" w:eastAsia="Arial" w:hAnsi="Arial"/>
          <w:b/>
          <w:bCs/>
          <w:color w:val="1F3864"/>
          <w:sz w:val="22"/>
          <w:szCs w:val="22"/>
        </w:rPr>
        <w:t xml:space="preserve">6.5  Edge and ATS Evaluation</w:t>
      </w:r>
    </w:p>
    <w:p>
      <w:pPr>
        <w:spacing w:after="60" w:before="60"/>
      </w:pPr>
      <w:r>
        <w:rPr>
          <w:rFonts w:ascii="Arial" w:cs="Arial" w:eastAsia="Arial" w:hAnsi="Arial"/>
          <w:sz w:val="20"/>
          <w:szCs w:val="20"/>
        </w:rPr>
        <w:t xml:space="preserve">Edge = ensemble prediction + closing spread (using sign convention: positive spread = home team favored). When the model predicts a significantly different outcome than the spread implies, that difference is the edge. A threshold of ±3.5 points is used to filter bets — only games where the model disagrees with the market by at least 3.5 points are acted on. This threshold yields 459 bets historically with a 56.4% ATS rate and +7.72% ROI above break-even.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WNBA Predictive Model — Feature Reference Guide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2026-04-04T01:44:29.710Z</dcterms:created>
  <dcterms:modified xsi:type="dcterms:W3CDTF">2026-04-04T01:44:29.711Z</dcterms:modified>
</cp:coreProperties>
</file>

<file path=docProps/custom.xml><?xml version="1.0" encoding="utf-8"?>
<Properties xmlns="http://schemas.openxmlformats.org/officeDocument/2006/custom-properties" xmlns:vt="http://schemas.openxmlformats.org/officeDocument/2006/docPropsVTypes"/>
</file>