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80" w:before="0"/>
        <w:jc w:val="center"/>
      </w:pPr>
      <w:r>
        <w:rPr>
          <w:rFonts w:ascii="Arial" w:cs="Arial" w:eastAsia="Arial" w:hAnsi="Arial"/>
          <w:b/>
          <w:bCs/>
          <w:color w:val="1B3A6B"/>
          <w:sz w:val="52"/>
          <w:szCs w:val="52"/>
        </w:rPr>
        <w:t xml:space="preserve">WNBA MARGIN MODEL</w:t>
      </w:r>
    </w:p>
    <w:p>
      <w:pPr>
        <w:spacing w:after="40" w:before="0"/>
        <w:jc w:val="center"/>
      </w:pPr>
      <w:r>
        <w:rPr>
          <w:rFonts w:ascii="Arial" w:cs="Arial" w:eastAsia="Arial" w:hAnsi="Arial"/>
          <w:color w:val="1E6E8E"/>
          <w:sz w:val="32"/>
          <w:szCs w:val="32"/>
        </w:rPr>
        <w:t xml:space="preserve">Working Paper</w:t>
      </w:r>
    </w:p>
    <w:p>
      <w:pPr>
        <w:spacing w:after="40" w:before="0"/>
        <w:jc w:val="center"/>
      </w:pPr>
      <w:r>
        <w:rPr>
          <w:rFonts w:ascii="Arial" w:cs="Arial" w:eastAsia="Arial" w:hAnsi="Arial"/>
          <w:i/>
          <w:iCs/>
          <w:color w:val="555555"/>
          <w:sz w:val="24"/>
          <w:szCs w:val="24"/>
        </w:rPr>
        <w:t xml:space="preserve">Pruned Ensemble Model — Production Version v1.0</w:t>
      </w:r>
    </w:p>
    <w:p>
      <w:pPr>
        <w:spacing w:after="80" w:before="0"/>
      </w:pPr>
      <w:r>
        <w:t xml:space="preserve"/>
      </w:r>
    </w:p>
    <w:p>
      <w:pPr>
        <w:pBdr>
          <w:bottom w:val="single" w:color="1E6E8E" w:sz="8" w:space="1"/>
        </w:pBdr>
        <w:jc w:val="center"/>
      </w:pPr>
      <w:r>
        <w:t xml:space="preserve"/>
      </w:r>
    </w:p>
    <w:p>
      <w:pPr>
        <w:spacing w:after="80" w:before="0"/>
      </w:pPr>
      <w:r>
        <w:t xml:space="preserve"/>
      </w:r>
    </w:p>
    <w:p>
      <w:pPr>
        <w:spacing w:after="40" w:before="0"/>
        <w:jc w:val="center"/>
      </w:pPr>
      <w:r>
        <w:rPr>
          <w:rFonts w:ascii="Arial" w:cs="Arial" w:eastAsia="Arial" w:hAnsi="Arial"/>
          <w:color w:val="555555"/>
          <w:sz w:val="22"/>
          <w:szCs w:val="22"/>
        </w:rPr>
        <w:t xml:space="preserve">April 2026</w:t>
      </w:r>
    </w:p>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tcPr>
          <w:p>
            <w:pPr>
              <w:jc w:val="center"/>
            </w:pPr>
            <w:r>
              <w:rPr>
                <w:rFonts w:ascii="Arial" w:cs="Arial" w:eastAsia="Arial" w:hAnsi="Arial"/>
                <w:b/>
                <w:bCs/>
                <w:color w:val="FFFFFF"/>
                <w:sz w:val="40"/>
                <w:szCs w:val="40"/>
              </w:rPr>
              <w:t xml:space="preserve">55.0%</w:t>
            </w:r>
          </w:p>
          <w:p>
            <w:pPr>
              <w:jc w:val="center"/>
            </w:pPr>
            <w:r>
              <w:rPr>
                <w:rFonts w:ascii="Arial" w:cs="Arial" w:eastAsia="Arial" w:hAnsi="Arial"/>
                <w:b/>
                <w:bCs/>
                <w:color w:val="AACCEE"/>
                <w:sz w:val="20"/>
                <w:szCs w:val="20"/>
              </w:rPr>
              <w:t xml:space="preserve">ATS</w:t>
            </w:r>
          </w:p>
          <w:p>
            <w:pPr>
              <w:jc w:val="center"/>
            </w:pPr>
            <w:r>
              <w:rPr>
                <w:rFonts w:ascii="Arial" w:cs="Arial" w:eastAsia="Arial" w:hAnsi="Arial"/>
                <w:color w:val="AACCEE"/>
                <w:sz w:val="18"/>
                <w:szCs w:val="18"/>
              </w:rPr>
              <w:t xml:space="preserve">2022–2025 Backtest</w:t>
            </w:r>
          </w:p>
        </w:tc>
        <w:tc>
          <w:tcPr>
            <w:tcW w:type="dxa" w:w="312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tcPr>
          <w:p>
            <w:pPr>
              <w:jc w:val="center"/>
            </w:pPr>
            <w:r>
              <w:rPr>
                <w:rFonts w:ascii="Arial" w:cs="Arial" w:eastAsia="Arial" w:hAnsi="Arial"/>
                <w:b/>
                <w:bCs/>
                <w:color w:val="FFFFFF"/>
                <w:sz w:val="40"/>
                <w:szCs w:val="40"/>
              </w:rPr>
              <w:t xml:space="preserve">p = 0.013</w:t>
            </w:r>
          </w:p>
          <w:p>
            <w:pPr>
              <w:jc w:val="center"/>
            </w:pPr>
            <w:r>
              <w:rPr>
                <w:rFonts w:ascii="Arial" w:cs="Arial" w:eastAsia="Arial" w:hAnsi="Arial"/>
                <w:b/>
                <w:bCs/>
                <w:color w:val="AACCEE"/>
                <w:sz w:val="20"/>
                <w:szCs w:val="20"/>
              </w:rPr>
              <w:t xml:space="preserve">Significance</w:t>
            </w:r>
          </w:p>
          <w:p>
            <w:pPr>
              <w:jc w:val="center"/>
            </w:pPr>
            <w:r>
              <w:rPr>
                <w:rFonts w:ascii="Arial" w:cs="Arial" w:eastAsia="Arial" w:hAnsi="Arial"/>
                <w:color w:val="AACCEE"/>
                <w:sz w:val="18"/>
                <w:szCs w:val="18"/>
              </w:rPr>
              <w:t xml:space="preserve">vs. 52.38% break-even</w:t>
            </w:r>
          </w:p>
        </w:tc>
        <w:tc>
          <w:tcPr>
            <w:tcW w:type="dxa" w:w="312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tcPr>
          <w:p>
            <w:pPr>
              <w:jc w:val="center"/>
            </w:pPr>
            <w:r>
              <w:rPr>
                <w:rFonts w:ascii="Arial" w:cs="Arial" w:eastAsia="Arial" w:hAnsi="Arial"/>
                <w:b/>
                <w:bCs/>
                <w:color w:val="FFFFFF"/>
                <w:sz w:val="40"/>
                <w:szCs w:val="40"/>
              </w:rPr>
              <w:t xml:space="preserve">22 / 23</w:t>
            </w:r>
          </w:p>
          <w:p>
            <w:pPr>
              <w:jc w:val="center"/>
            </w:pPr>
            <w:r>
              <w:rPr>
                <w:rFonts w:ascii="Arial" w:cs="Arial" w:eastAsia="Arial" w:hAnsi="Arial"/>
                <w:b/>
                <w:bCs/>
                <w:color w:val="AACCEE"/>
                <w:sz w:val="20"/>
                <w:szCs w:val="20"/>
              </w:rPr>
              <w:t xml:space="preserve">Audit Checks</w:t>
            </w:r>
          </w:p>
          <w:p>
            <w:pPr>
              <w:jc w:val="center"/>
            </w:pPr>
            <w:r>
              <w:rPr>
                <w:rFonts w:ascii="Arial" w:cs="Arial" w:eastAsia="Arial" w:hAnsi="Arial"/>
                <w:color w:val="AACCEE"/>
                <w:sz w:val="18"/>
                <w:szCs w:val="18"/>
              </w:rPr>
              <w:t xml:space="preserve">All material checks passed</w:t>
            </w:r>
          </w:p>
        </w:tc>
      </w:tr>
    </w:tbl>
    <w:p>
      <w:r>
        <w:br w:type="page"/>
      </w:r>
    </w:p>
    <w:p>
      <w:pPr>
        <w:pStyle w:val="Heading1"/>
        <w:pBdr>
          <w:bottom w:val="single" w:color="1E6E8E" w:sz="6" w:space="6"/>
        </w:pBdr>
        <w:spacing w:after="160" w:before="360"/>
      </w:pPr>
      <w:r>
        <w:rPr>
          <w:rFonts w:ascii="Arial" w:cs="Arial" w:eastAsia="Arial" w:hAnsi="Arial"/>
          <w:b/>
          <w:bCs/>
          <w:color w:val="1B3A6B"/>
          <w:sz w:val="30"/>
          <w:szCs w:val="30"/>
        </w:rPr>
        <w:t xml:space="preserve">1. Executive Summary</w:t>
      </w:r>
    </w:p>
    <w:p>
      <w:pPr>
        <w:spacing w:after="100" w:before="60"/>
      </w:pPr>
      <w:r>
        <w:rPr>
          <w:rFonts w:ascii="Arial" w:cs="Arial" w:eastAsia="Arial" w:hAnsi="Arial"/>
          <w:color w:val="1A1A1A"/>
          <w:sz w:val="22"/>
          <w:szCs w:val="22"/>
        </w:rPr>
        <w:t xml:space="preserve">This paper documents the WNBA Pruned Ensemble Model — the current production version of our game margin prediction system. The model predicts the home team's margin of victory for each WNBA game, then compares that prediction against the closing spread to identify betting edges.</w:t>
      </w:r>
    </w:p>
    <w:p>
      <w:pPr>
        <w:spacing w:after="60" w:before="0"/>
      </w:pPr>
      <w:r>
        <w:t xml:space="preserve"/>
      </w:r>
    </w:p>
    <w:p>
      <w:pPr>
        <w:spacing w:after="100" w:before="60"/>
      </w:pPr>
      <w:r>
        <w:rPr>
          <w:rFonts w:ascii="Arial" w:cs="Arial" w:eastAsia="Arial" w:hAnsi="Arial"/>
          <w:color w:val="1A1A1A"/>
          <w:sz w:val="22"/>
          <w:szCs w:val="22"/>
        </w:rPr>
        <w:t xml:space="preserve">The model emerged from a multi-phase development process that included rolling window optimisation, overfitting diagnosis, SHAP-based interpretability analysis, a full ATS logic audit, and a comprehensive pipeline integrity check. Each phase removed noise and improved the reliability of the underlying signal.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E8E" w:sz="12"/>
              <w:bottom w:val="none" w:color="FFFFFF" w:sz="0"/>
              <w:right w:val="none" w:color="FFFFFF" w:sz="0"/>
            </w:tcBorders>
            <w:shd w:fill="F2F4F7" w:val="clear"/>
            <w:tcMar>
              <w:top w:type="dxa" w:w="120"/>
              <w:left w:type="dxa" w:w="200"/>
              <w:bottom w:type="dxa" w:w="120"/>
              <w:right w:type="dxa" w:w="120"/>
            </w:tcMar>
          </w:tcPr>
          <w:p>
            <w:pPr>
              <w:spacing w:after="40" w:before="0"/>
            </w:pPr>
            <w:r>
              <w:rPr>
                <w:rFonts w:ascii="Arial" w:cs="Arial" w:eastAsia="Arial" w:hAnsi="Arial"/>
                <w:b/>
                <w:bCs/>
                <w:color w:val="1B3A6B"/>
                <w:sz w:val="20"/>
                <w:szCs w:val="20"/>
              </w:rPr>
              <w:t xml:space="preserve">Core Result</w:t>
            </w:r>
          </w:p>
          <w:p>
            <w:pPr>
              <w:spacing w:after="0" w:before="0"/>
            </w:pPr>
            <w:r>
              <w:rPr>
                <w:rFonts w:ascii="Arial" w:cs="Arial" w:eastAsia="Arial" w:hAnsi="Arial"/>
                <w:color w:val="1A1A1A"/>
                <w:sz w:val="20"/>
                <w:szCs w:val="20"/>
              </w:rPr>
              <w:t xml:space="preserve">The pruned 25-feature ensemble achieves 55.0% ATS (287 correct bets out of 522) across four backtested seasons (2022–2025), with a p-value of 0.013. This is statistically significant and clears the 52.38% break-even threshold at standard -110 juice by 2.62 percentage points.</w:t>
            </w:r>
          </w:p>
        </w:tc>
      </w:tr>
    </w:tbl>
    <w:p>
      <w:pPr>
        <w:spacing w:after="120" w:before="0"/>
      </w:pPr>
      <w:r>
        <w:t xml:space="preserve"/>
      </w:r>
    </w:p>
    <w:p>
      <w:pPr>
        <w:spacing w:after="100" w:before="60"/>
      </w:pPr>
      <w:r>
        <w:rPr>
          <w:rFonts w:ascii="Arial" w:cs="Arial" w:eastAsia="Arial" w:hAnsi="Arial"/>
          <w:color w:val="1A1A1A"/>
          <w:sz w:val="22"/>
          <w:szCs w:val="22"/>
        </w:rPr>
        <w:t xml:space="preserve">The model passed 22 of 23 automated audit checks covering data integrity, feature leakage, spread formula correctness, walk-forward methodology, and economic logic. The single flagged item (a rolling margin value exceeding a conservatively set range) was confirmed to be a false alarm.</w:t>
      </w:r>
    </w:p>
    <w:p>
      <w:pPr>
        <w:spacing w:after="160" w:before="0"/>
      </w:pPr>
      <w:r>
        <w:t xml:space="preserve"/>
      </w:r>
    </w:p>
    <w:p>
      <w:pPr>
        <w:pStyle w:val="Heading1"/>
        <w:pBdr>
          <w:bottom w:val="single" w:color="1E6E8E" w:sz="6" w:space="6"/>
        </w:pBdr>
        <w:spacing w:after="160" w:before="360"/>
      </w:pPr>
      <w:r>
        <w:rPr>
          <w:rFonts w:ascii="Arial" w:cs="Arial" w:eastAsia="Arial" w:hAnsi="Arial"/>
          <w:b/>
          <w:bCs/>
          <w:color w:val="1B3A6B"/>
          <w:sz w:val="30"/>
          <w:szCs w:val="30"/>
        </w:rPr>
        <w:t xml:space="preserve">2. Problem Statement</w:t>
      </w:r>
    </w:p>
    <w:p>
      <w:pPr>
        <w:spacing w:after="100" w:before="60"/>
      </w:pPr>
      <w:r>
        <w:rPr>
          <w:rFonts w:ascii="Arial" w:cs="Arial" w:eastAsia="Arial" w:hAnsi="Arial"/>
          <w:color w:val="1A1A1A"/>
          <w:sz w:val="22"/>
          <w:szCs w:val="22"/>
        </w:rPr>
        <w:t xml:space="preserve">The objective is to predict the home team's margin of victory for each WNBA game and identify games where our predicted margin diverges from the closing spread by a sufficient amount to represent a positive expected value bet.</w:t>
      </w:r>
    </w:p>
    <w:p>
      <w:pPr>
        <w:spacing w:after="60" w:before="0"/>
      </w:pPr>
      <w:r>
        <w:t xml:space="preserve"/>
      </w:r>
    </w:p>
    <w:p>
      <w:pPr>
        <w:spacing w:after="100" w:before="60"/>
      </w:pPr>
      <w:r>
        <w:rPr>
          <w:rFonts w:ascii="Arial" w:cs="Arial" w:eastAsia="Arial" w:hAnsi="Arial"/>
          <w:color w:val="1A1A1A"/>
          <w:sz w:val="22"/>
          <w:szCs w:val="22"/>
        </w:rPr>
        <w:t xml:space="preserve">A bet is placed when the absolute difference between our predicted margin and the closing spread exceeds 3.5 points — our minimum edge threshold. We bet on the home team to cover if our prediction exceeds the line, and on the away team if our prediction falls short of the line.</w:t>
      </w:r>
    </w:p>
    <w:p>
      <w:pPr>
        <w:spacing w:after="60" w:before="0"/>
      </w:pPr>
      <w:r>
        <w:t xml:space="preserve"/>
      </w:r>
    </w:p>
    <w:p>
      <w:pPr>
        <w:spacing w:after="100" w:before="60"/>
      </w:pPr>
      <w:r>
        <w:rPr>
          <w:rFonts w:ascii="Arial" w:cs="Arial" w:eastAsia="Arial" w:hAnsi="Arial"/>
          <w:color w:val="1A1A1A"/>
          <w:sz w:val="22"/>
          <w:szCs w:val="22"/>
        </w:rPr>
        <w:t xml:space="preserve">Break-even requirement: </w:t>
      </w:r>
      <w:r>
        <w:rPr>
          <w:rFonts w:ascii="Arial" w:cs="Arial" w:eastAsia="Arial" w:hAnsi="Arial"/>
          <w:b/>
          <w:bCs/>
          <w:color w:val="1A1A1A"/>
          <w:sz w:val="22"/>
          <w:szCs w:val="22"/>
        </w:rPr>
        <w:t xml:space="preserve">52.38% ATS at -110 juice </w:t>
      </w:r>
      <w:r>
        <w:rPr>
          <w:rFonts w:ascii="Arial" w:cs="Arial" w:eastAsia="Arial" w:hAnsi="Arial"/>
          <w:color w:val="1A1A1A"/>
          <w:sz w:val="22"/>
          <w:szCs w:val="22"/>
        </w:rPr>
        <w:t xml:space="preserve">(bettor must win 52.38% of bets to break even after the bookmaker's commission). All performance figures in this paper are measured against this threshold.</w:t>
      </w:r>
    </w:p>
    <w:p>
      <w:pPr>
        <w:spacing w:after="160" w:before="0"/>
      </w:pPr>
      <w:r>
        <w:t xml:space="preserve"/>
      </w:r>
    </w:p>
    <w:p>
      <w:pPr>
        <w:pStyle w:val="Heading1"/>
        <w:pBdr>
          <w:bottom w:val="single" w:color="1E6E8E" w:sz="6" w:space="6"/>
        </w:pBdr>
        <w:spacing w:after="160" w:before="360"/>
      </w:pPr>
      <w:r>
        <w:rPr>
          <w:rFonts w:ascii="Arial" w:cs="Arial" w:eastAsia="Arial" w:hAnsi="Arial"/>
          <w:b/>
          <w:bCs/>
          <w:color w:val="1B3A6B"/>
          <w:sz w:val="30"/>
          <w:szCs w:val="30"/>
        </w:rPr>
        <w:t xml:space="preserve">3. Data Pipeline</w:t>
      </w:r>
    </w:p>
    <w:p>
      <w:pPr>
        <w:pStyle w:val="Heading2"/>
        <w:spacing w:after="100" w:before="240"/>
      </w:pPr>
      <w:r>
        <w:rPr>
          <w:rFonts w:ascii="Arial" w:cs="Arial" w:eastAsia="Arial" w:hAnsi="Arial"/>
          <w:b/>
          <w:bCs/>
          <w:color w:val="1E6E8E"/>
          <w:sz w:val="24"/>
          <w:szCs w:val="24"/>
        </w:rPr>
        <w:t xml:space="preserve">3.1 Architecture</w:t>
      </w:r>
    </w:p>
    <w:p>
      <w:pPr>
        <w:spacing w:after="100" w:before="60"/>
      </w:pPr>
      <w:r>
        <w:rPr>
          <w:rFonts w:ascii="Arial" w:cs="Arial" w:eastAsia="Arial" w:hAnsi="Arial"/>
          <w:color w:val="1A1A1A"/>
          <w:sz w:val="22"/>
          <w:szCs w:val="22"/>
        </w:rPr>
        <w:t xml:space="preserve">The pipeline follows a three-stage Bronze → Silver → Gold architecture. Raw box scores and game results are ingested at the Bronze layer. The Silver layer applies cleaning and standardisation. The Gold layer runs four feature engineering scripts in sequence to produce the final game_features.parquet file that the model reads directly.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Layer</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Contents</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Script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Bronze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Raw game results, player box scores, team box scores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Data ingestion</w:t>
            </w:r>
          </w:p>
        </w:tc>
      </w:tr>
      <w:tr>
        <w:tc>
          <w:tcPr>
            <w:tcW w:type="dxa" w:w="24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Silver</w:t>
            </w:r>
          </w:p>
        </w:tc>
        <w:tc>
          <w:tcPr>
            <w:tcW w:type="dxa" w:w="4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Cleaned and standardised records, team ID harmonisation</w:t>
            </w:r>
          </w:p>
        </w:tc>
        <w:tc>
          <w:tcPr>
            <w:tcW w:type="dxa" w:w="27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02_silver_*.py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Gold — Contextual</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Rolling win rate, margin, EWMA eFG%, rest/B2B</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03c</w:t>
            </w:r>
          </w:p>
        </w:tc>
      </w:tr>
      <w:tr>
        <w:tc>
          <w:tcPr>
            <w:tcW w:type="dxa" w:w="24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Gold — Four Factors</w:t>
            </w:r>
          </w:p>
        </w:tc>
        <w:tc>
          <w:tcPr>
            <w:tcW w:type="dxa" w:w="4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Rolling eFG%, TOV%, OReb%, FT rate by team</w:t>
            </w:r>
          </w:p>
        </w:tc>
        <w:tc>
          <w:tcPr>
            <w:tcW w:type="dxa" w:w="27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03d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Gold — Player Quality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Weighted per-player pm/min, AST%, TS%, USG%</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03e</w:t>
            </w:r>
          </w:p>
        </w:tc>
      </w:tr>
      <w:tr>
        <w:tc>
          <w:tcPr>
            <w:tcW w:type="dxa" w:w="24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Gold — Net Rating</w:t>
            </w:r>
          </w:p>
        </w:tc>
        <w:tc>
          <w:tcPr>
            <w:tcW w:type="dxa" w:w="4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Rolling net rating and pace per team</w:t>
            </w:r>
          </w:p>
        </w:tc>
        <w:tc>
          <w:tcPr>
            <w:tcW w:type="dxa" w:w="27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03f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Model Input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game_features.parquet — 395 columns, 1,726 games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08 / 20</w:t>
            </w:r>
          </w:p>
        </w:tc>
      </w:tr>
    </w:tbl>
    <w:p>
      <w:pPr>
        <w:spacing w:after="120" w:before="0"/>
      </w:pPr>
      <w:r>
        <w:t xml:space="preserve"/>
      </w:r>
    </w:p>
    <w:p>
      <w:pPr>
        <w:pStyle w:val="Heading2"/>
        <w:spacing w:after="100" w:before="240"/>
      </w:pPr>
      <w:r>
        <w:rPr>
          <w:rFonts w:ascii="Arial" w:cs="Arial" w:eastAsia="Arial" w:hAnsi="Arial"/>
          <w:b/>
          <w:bCs/>
          <w:color w:val="1E6E8E"/>
          <w:sz w:val="24"/>
          <w:szCs w:val="24"/>
        </w:rPr>
        <w:t xml:space="preserve">3.2 Data Coverage</w:t>
      </w:r>
    </w:p>
    <w:p>
      <w:pPr>
        <w:spacing w:after="100" w:before="60"/>
      </w:pPr>
      <w:r>
        <w:rPr>
          <w:rFonts w:ascii="Arial" w:cs="Arial" w:eastAsia="Arial" w:hAnsi="Arial"/>
          <w:color w:val="1A1A1A"/>
          <w:sz w:val="22"/>
          <w:szCs w:val="22"/>
        </w:rPr>
        <w:t xml:space="preserve">The gold dataset spans seven seasons (2019–2025) with 1,726 unique games. Closing spread data is available from 2022 onward, providing four seasons of backtestable ATS results. Pre-2022 seasons are used solely for model training.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60"/>
        <w:gridCol w:w="2100"/>
        <w:gridCol w:w="4200"/>
      </w:tblGrid>
      <w:tr>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Season</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Games</w:t>
            </w:r>
          </w:p>
        </w:tc>
        <w:tc>
          <w:tcPr>
            <w:tcW w:type="dxa" w:w="2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Spread Available</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Used For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2019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118</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No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Training only</w:t>
            </w:r>
          </w:p>
        </w:tc>
      </w:tr>
      <w:tr>
        <w:tc>
          <w:tcPr>
            <w:tcW w:type="dxa" w:w="15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2020</w:t>
            </w:r>
          </w:p>
        </w:tc>
        <w:tc>
          <w:tcPr>
            <w:tcW w:type="dxa" w:w="15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147</w:t>
            </w:r>
          </w:p>
        </w:tc>
        <w:tc>
          <w:tcPr>
            <w:tcW w:type="dxa" w:w="21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No</w:t>
            </w:r>
          </w:p>
        </w:tc>
        <w:tc>
          <w:tcPr>
            <w:tcW w:type="dxa" w:w="4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Training only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2021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218</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No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Training only</w:t>
            </w:r>
          </w:p>
        </w:tc>
      </w:tr>
      <w:tr>
        <w:tc>
          <w:tcPr>
            <w:tcW w:type="dxa" w:w="15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2022</w:t>
            </w:r>
          </w:p>
        </w:tc>
        <w:tc>
          <w:tcPr>
            <w:tcW w:type="dxa" w:w="15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250</w:t>
            </w:r>
          </w:p>
        </w:tc>
        <w:tc>
          <w:tcPr>
            <w:tcW w:type="dxa" w:w="21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207 games</w:t>
            </w:r>
          </w:p>
        </w:tc>
        <w:tc>
          <w:tcPr>
            <w:tcW w:type="dxa" w:w="4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Training + ATS test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2023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273</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261 games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Training + ATS test</w:t>
            </w:r>
          </w:p>
        </w:tc>
      </w:tr>
      <w:tr>
        <w:tc>
          <w:tcPr>
            <w:tcW w:type="dxa" w:w="15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2024</w:t>
            </w:r>
          </w:p>
        </w:tc>
        <w:tc>
          <w:tcPr>
            <w:tcW w:type="dxa" w:w="15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263</w:t>
            </w:r>
          </w:p>
        </w:tc>
        <w:tc>
          <w:tcPr>
            <w:tcW w:type="dxa" w:w="21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263 games</w:t>
            </w:r>
          </w:p>
        </w:tc>
        <w:tc>
          <w:tcPr>
            <w:tcW w:type="dxa" w:w="4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Training + ATS test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2025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327</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263 games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Training + ATS test</w:t>
            </w:r>
          </w:p>
        </w:tc>
      </w:tr>
    </w:tbl>
    <w:p>
      <w:r>
        <w:br w:type="page"/>
      </w:r>
    </w:p>
    <w:p>
      <w:pPr>
        <w:pStyle w:val="Heading1"/>
        <w:pBdr>
          <w:bottom w:val="single" w:color="1E6E8E" w:sz="6" w:space="6"/>
        </w:pBdr>
        <w:spacing w:after="160" w:before="360"/>
      </w:pPr>
      <w:r>
        <w:rPr>
          <w:rFonts w:ascii="Arial" w:cs="Arial" w:eastAsia="Arial" w:hAnsi="Arial"/>
          <w:b/>
          <w:bCs/>
          <w:color w:val="1B3A6B"/>
          <w:sz w:val="30"/>
          <w:szCs w:val="30"/>
        </w:rPr>
        <w:t xml:space="preserve">4. Feature Engineering</w:t>
      </w:r>
    </w:p>
    <w:p>
      <w:pPr>
        <w:pStyle w:val="Heading2"/>
        <w:spacing w:after="100" w:before="240"/>
      </w:pPr>
      <w:r>
        <w:rPr>
          <w:rFonts w:ascii="Arial" w:cs="Arial" w:eastAsia="Arial" w:hAnsi="Arial"/>
          <w:b/>
          <w:bCs/>
          <w:color w:val="1E6E8E"/>
          <w:sz w:val="24"/>
          <w:szCs w:val="24"/>
        </w:rPr>
        <w:t xml:space="preserve">4.1 Rolling Window Design</w:t>
      </w:r>
    </w:p>
    <w:p>
      <w:pPr>
        <w:spacing w:after="100" w:before="60"/>
      </w:pPr>
      <w:r>
        <w:rPr>
          <w:rFonts w:ascii="Arial" w:cs="Arial" w:eastAsia="Arial" w:hAnsi="Arial"/>
          <w:color w:val="1A1A1A"/>
          <w:sz w:val="22"/>
          <w:szCs w:val="22"/>
        </w:rPr>
        <w:t xml:space="preserve">All features are computed as rolling averages over the N most recent games for each team, using a shift(1) operation before rolling to ensure game N can only see games 1 through N-1. This prevents any same-game data leakage. Rolling windows cross season boundaries by design — a team's form from the prior season carries into the start of the next, consistent with how coaching staff and market participants view team quality.</w:t>
      </w:r>
    </w:p>
    <w:p>
      <w:pPr>
        <w:spacing w:after="60" w:before="0"/>
      </w:pPr>
      <w:r>
        <w:t xml:space="preserve"/>
      </w:r>
    </w:p>
    <w:p>
      <w:pPr>
        <w:spacing w:after="100" w:before="60"/>
      </w:pPr>
      <w:r>
        <w:rPr>
          <w:rFonts w:ascii="Arial" w:cs="Arial" w:eastAsia="Arial" w:hAnsi="Arial"/>
          <w:color w:val="1A1A1A"/>
          <w:sz w:val="22"/>
          <w:szCs w:val="22"/>
        </w:rPr>
        <w:t xml:space="preserve">Initial development used r5 and r10 windows (5-game and 10-game rolling averages). A direct window comparison was conducted using the same pruned feature structure across four configurations — r10+r5, r7+r3, r10+r7, and r10 alone — to determine which windows carry genuine predictive signal.</w:t>
      </w:r>
    </w:p>
    <w:p>
      <w:pPr>
        <w:spacing w:after="60" w:before="0"/>
      </w:pPr>
      <w: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2160"/>
        <w:gridCol w:w="900"/>
        <w:gridCol w:w="900"/>
        <w:gridCol w:w="900"/>
        <w:gridCol w:w="900"/>
        <w:gridCol w:w="600"/>
      </w:tblGrid>
      <w:tr>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Configuration</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Features</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ATS%</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Bets</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p-value</w:t>
            </w:r>
          </w:p>
        </w:tc>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Sig</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r10+r5  (production)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25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55.56%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522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0.006</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w:t>
            </w:r>
          </w:p>
        </w:tc>
      </w:tr>
      <w:tr>
        <w:tc>
          <w:tcPr>
            <w:tcW w:type="dxa" w:w="21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r10 only</w:t>
            </w:r>
          </w:p>
        </w:tc>
        <w:tc>
          <w:tcPr>
            <w:tcW w:type="dxa" w:w="9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22</w:t>
            </w:r>
          </w:p>
        </w:tc>
        <w:tc>
          <w:tcPr>
            <w:tcW w:type="dxa" w:w="9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53.99%</w:t>
            </w:r>
          </w:p>
        </w:tc>
        <w:tc>
          <w:tcPr>
            <w:tcW w:type="dxa" w:w="9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526</w:t>
            </w:r>
          </w:p>
        </w:tc>
        <w:tc>
          <w:tcPr>
            <w:tcW w:type="dxa" w:w="9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0.037</w:t>
            </w:r>
          </w:p>
        </w:tc>
        <w:tc>
          <w:tcPr>
            <w:tcW w:type="dxa" w:w="6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r10+r7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25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53.07%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522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0.087</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w:t>
            </w:r>
          </w:p>
        </w:tc>
      </w:tr>
      <w:tr>
        <w:tc>
          <w:tcPr>
            <w:tcW w:type="dxa" w:w="21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r7+r3</w:t>
            </w:r>
          </w:p>
        </w:tc>
        <w:tc>
          <w:tcPr>
            <w:tcW w:type="dxa" w:w="9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25</w:t>
            </w:r>
          </w:p>
        </w:tc>
        <w:tc>
          <w:tcPr>
            <w:tcW w:type="dxa" w:w="9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51.80%</w:t>
            </w:r>
          </w:p>
        </w:tc>
        <w:tc>
          <w:tcPr>
            <w:tcW w:type="dxa" w:w="9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556</w:t>
            </w:r>
          </w:p>
        </w:tc>
        <w:tc>
          <w:tcPr>
            <w:tcW w:type="dxa" w:w="9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0.210</w:t>
            </w:r>
          </w:p>
        </w:tc>
        <w:tc>
          <w:tcPr>
            <w:tcW w:type="dxa" w:w="6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w:t>
            </w:r>
          </w:p>
        </w:tc>
      </w:tr>
    </w:tbl>
    <w:p>
      <w:pPr>
        <w:spacing w:after="60" w:before="0"/>
      </w:pPr>
      <w:r>
        <w:t xml:space="preserve"/>
      </w:r>
    </w:p>
    <w:p>
      <w:pPr>
        <w:spacing w:after="100" w:before="60"/>
      </w:pPr>
      <w:r>
        <w:rPr>
          <w:rFonts w:ascii="Arial" w:cs="Arial" w:eastAsia="Arial" w:hAnsi="Arial"/>
          <w:color w:val="1A1A1A"/>
          <w:sz w:val="22"/>
          <w:szCs w:val="22"/>
        </w:rPr>
        <w:t xml:space="preserve">The r3+r7 configuration (3-game and 7-game windows) was explicitly tested and performed worst of the four alternatives — 51.80% ATS, below break-even, and not statistically distinguishable from chance. The r3 window is too short for a WNBA season (roughly one week of games), capturing scheduling noise rather than genuine form. The r10 window spanning approximately 3.5 weeks is the primary signal carrier; the r5 window adds incremental short-term signal for the away team only, where travel and recovery fatigue create genuine edge.</w:t>
      </w:r>
    </w:p>
    <w:p>
      <w:pPr>
        <w:spacing w:after="100" w:before="0"/>
      </w:pPr>
      <w:r>
        <w:t xml:space="preserve"/>
      </w:r>
    </w:p>
    <w:p>
      <w:pPr>
        <w:pStyle w:val="Heading2"/>
        <w:spacing w:after="100" w:before="240"/>
      </w:pPr>
      <w:r>
        <w:rPr>
          <w:rFonts w:ascii="Arial" w:cs="Arial" w:eastAsia="Arial" w:hAnsi="Arial"/>
          <w:b/>
          <w:bCs/>
          <w:color w:val="1E6E8E"/>
          <w:sz w:val="24"/>
          <w:szCs w:val="24"/>
        </w:rPr>
        <w:t xml:space="preserve">4.2 The Pruned Feature Set</w:t>
      </w:r>
    </w:p>
    <w:p>
      <w:pPr>
        <w:spacing w:after="100" w:before="60"/>
      </w:pPr>
      <w:r>
        <w:rPr>
          <w:rFonts w:ascii="Arial" w:cs="Arial" w:eastAsia="Arial" w:hAnsi="Arial"/>
          <w:color w:val="1A1A1A"/>
          <w:sz w:val="22"/>
          <w:szCs w:val="22"/>
        </w:rPr>
        <w:t xml:space="preserve">The production model uses 25 features selected through SHAP analysis. Features were kept only if they demonstrated correct directional sign (e.g., better home net rating predicts larger home margin), were not systematically more active in losing bets than winning ones, and did not show sign reversal between correlated windows.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400"/>
        <w:gridCol w:w="1860"/>
      </w:tblGrid>
      <w:tr>
        <w:tc>
          <w:tcPr>
            <w:tcW w:type="dxa" w:w="2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Home Features</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Away Features</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Window</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Team Strength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net_rtg, margin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net_rtg, margin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27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Away Momentum</w:t>
            </w:r>
          </w:p>
        </w:tc>
        <w:tc>
          <w:tcPr>
            <w:tcW w:type="dxa" w:w="24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net_rtg, margin</w:t>
            </w:r>
          </w:p>
        </w:tc>
        <w:tc>
          <w:tcPr>
            <w:tcW w:type="dxa" w:w="18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r5</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Lineup Quality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pm_per_min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pm_per_min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27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Away Lineup (short)</w:t>
            </w:r>
          </w:p>
        </w:tc>
        <w:tc>
          <w:tcPr>
            <w:tcW w:type="dxa" w:w="24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pm_per_min</w:t>
            </w:r>
          </w:p>
        </w:tc>
        <w:tc>
          <w:tcPr>
            <w:tcW w:type="dxa" w:w="18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r5</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Ball Movement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ast_pct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ast_pct</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27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Shooting Efficiency</w:t>
            </w:r>
          </w:p>
        </w:tc>
        <w:tc>
          <w:tcPr>
            <w:tcW w:type="dxa" w:w="24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ts_pct</w:t>
            </w:r>
          </w:p>
        </w:tc>
        <w:tc>
          <w:tcPr>
            <w:tcW w:type="dxa" w:w="24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ts_pct</w:t>
            </w:r>
          </w:p>
        </w:tc>
        <w:tc>
          <w:tcPr>
            <w:tcW w:type="dxa" w:w="18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Turnovers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tov_pct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tov_pct</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27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Off. Rebounding</w:t>
            </w:r>
          </w:p>
        </w:tc>
        <w:tc>
          <w:tcPr>
            <w:tcW w:type="dxa" w:w="24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oreb_pct</w:t>
            </w:r>
          </w:p>
        </w:tc>
        <w:tc>
          <w:tcPr>
            <w:tcW w:type="dxa" w:w="24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oreb_pct</w:t>
            </w:r>
          </w:p>
        </w:tc>
        <w:tc>
          <w:tcPr>
            <w:tcW w:type="dxa" w:w="18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Field Goal Quality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efg_pct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efg_pct</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27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Free Throw Rate</w:t>
            </w:r>
          </w:p>
        </w:tc>
        <w:tc>
          <w:tcPr>
            <w:tcW w:type="dxa" w:w="24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ft_rate</w:t>
            </w:r>
          </w:p>
        </w:tc>
        <w:tc>
          <w:tcPr>
            <w:tcW w:type="dxa" w:w="24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ft_rate</w:t>
            </w:r>
          </w:p>
        </w:tc>
        <w:tc>
          <w:tcPr>
            <w:tcW w:type="dxa" w:w="18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Tempo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pace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pace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27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Scheduling</w:t>
            </w:r>
          </w:p>
        </w:tc>
        <w:tc>
          <w:tcPr>
            <w:tcW w:type="dxa" w:w="24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days_rest</w:t>
            </w:r>
          </w:p>
        </w:tc>
        <w:tc>
          <w:tcPr>
            <w:tcW w:type="dxa" w:w="24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days_rest</w:t>
            </w:r>
          </w:p>
        </w:tc>
        <w:tc>
          <w:tcPr>
            <w:tcW w:type="dxa" w:w="18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w:t>
            </w:r>
          </w:p>
        </w:tc>
      </w:tr>
    </w:tbl>
    <w:p>
      <w:pPr>
        <w:spacing w:after="120" w:before="0"/>
      </w:pPr>
      <w:r>
        <w:t xml:space="preserve"/>
      </w:r>
    </w:p>
    <w:p>
      <w:pPr>
        <w:pStyle w:val="Heading2"/>
        <w:spacing w:after="100" w:before="240"/>
      </w:pPr>
      <w:r>
        <w:rPr>
          <w:rFonts w:ascii="Arial" w:cs="Arial" w:eastAsia="Arial" w:hAnsi="Arial"/>
          <w:b/>
          <w:bCs/>
          <w:color w:val="1E6E8E"/>
          <w:sz w:val="24"/>
          <w:szCs w:val="24"/>
        </w:rPr>
        <w:t xml:space="preserve">4.3 Features Explicitly Excluded</w:t>
      </w:r>
    </w:p>
    <w:p>
      <w:pPr>
        <w:spacing w:after="100" w:before="60"/>
      </w:pPr>
      <w:r>
        <w:rPr>
          <w:rFonts w:ascii="Arial" w:cs="Arial" w:eastAsia="Arial" w:hAnsi="Arial"/>
          <w:color w:val="1A1A1A"/>
          <w:sz w:val="22"/>
          <w:szCs w:val="22"/>
        </w:rPr>
        <w:t xml:space="preserve">The following categories were dropped after SHAP analysis showed they were either directionally inconsistent or noise-heavy:</w:t>
      </w:r>
    </w:p>
    <w:p>
      <w:pPr>
        <w:spacing w:after="4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Win percentage (home and away, both windows) — wrong sign in both r5 and r10; market already prices win rate fully.</w:t>
      </w:r>
    </w:p>
    <w:p>
      <w:pPr>
        <w:pStyle w:val="ListParagraph"/>
        <w:numPr>
          <w:ilvl w:val="0"/>
          <w:numId w:val="2"/>
        </w:numPr>
        <w:spacing w:after="40" w:before="40"/>
      </w:pPr>
      <w:r>
        <w:rPr>
          <w:rFonts w:ascii="Arial" w:cs="Arial" w:eastAsia="Arial" w:hAnsi="Arial"/>
          <w:color w:val="1A1A1A"/>
          <w:sz w:val="22"/>
          <w:szCs w:val="22"/>
        </w:rPr>
        <w:t xml:space="preserve">Defensive rebounding rate (dreb_pct) — wrong sign for both home and away; more active in losing bets than winning ones.</w:t>
      </w:r>
    </w:p>
    <w:p>
      <w:pPr>
        <w:pStyle w:val="ListParagraph"/>
        <w:numPr>
          <w:ilvl w:val="0"/>
          <w:numId w:val="2"/>
        </w:numPr>
        <w:spacing w:after="40" w:before="40"/>
      </w:pPr>
      <w:r>
        <w:rPr>
          <w:rFonts w:ascii="Arial" w:cs="Arial" w:eastAsia="Arial" w:hAnsi="Arial"/>
          <w:color w:val="1A1A1A"/>
          <w:sz w:val="22"/>
          <w:szCs w:val="22"/>
        </w:rPr>
        <w:t xml:space="preserve">EWMA eFG% (exponentially weighted shooting efficiency) — wrong directional sign and disproportionately active in incorrect predictions.</w:t>
      </w:r>
    </w:p>
    <w:p>
      <w:pPr>
        <w:pStyle w:val="ListParagraph"/>
        <w:numPr>
          <w:ilvl w:val="0"/>
          <w:numId w:val="2"/>
        </w:numPr>
        <w:spacing w:after="40" w:before="40"/>
      </w:pPr>
      <w:r>
        <w:rPr>
          <w:rFonts w:ascii="Arial" w:cs="Arial" w:eastAsia="Arial" w:hAnsi="Arial"/>
          <w:color w:val="1A1A1A"/>
          <w:sz w:val="22"/>
          <w:szCs w:val="22"/>
        </w:rPr>
        <w:t xml:space="preserve">r5 variants of home team features (pm_per_min, ast_pct) — correct at r10 but sign-reversed at r5, indicating window-induced noise rather than genuine short-term signal.</w:t>
      </w:r>
    </w:p>
    <w:p>
      <w:pPr>
        <w:pStyle w:val="ListParagraph"/>
        <w:numPr>
          <w:ilvl w:val="0"/>
          <w:numId w:val="2"/>
        </w:numPr>
        <w:spacing w:after="40" w:before="40"/>
      </w:pPr>
      <w:r>
        <w:rPr>
          <w:rFonts w:ascii="Arial" w:cs="Arial" w:eastAsia="Arial" w:hAnsi="Arial"/>
          <w:color w:val="1A1A1A"/>
          <w:sz w:val="22"/>
          <w:szCs w:val="22"/>
        </w:rPr>
        <w:t xml:space="preserve">All r15 and r20 window features — longer windows lag the market, reducing ATS performance.</w:t>
      </w:r>
    </w:p>
    <w:p>
      <w:r>
        <w:br w:type="page"/>
      </w:r>
    </w:p>
    <w:p>
      <w:pPr>
        <w:pStyle w:val="Heading1"/>
        <w:pBdr>
          <w:bottom w:val="single" w:color="1E6E8E" w:sz="6" w:space="6"/>
        </w:pBdr>
        <w:spacing w:after="160" w:before="360"/>
      </w:pPr>
      <w:r>
        <w:rPr>
          <w:rFonts w:ascii="Arial" w:cs="Arial" w:eastAsia="Arial" w:hAnsi="Arial"/>
          <w:b/>
          <w:bCs/>
          <w:color w:val="1B3A6B"/>
          <w:sz w:val="30"/>
          <w:szCs w:val="30"/>
        </w:rPr>
        <w:t xml:space="preserve">5. Model Architecture</w:t>
      </w:r>
    </w:p>
    <w:p>
      <w:pPr>
        <w:pStyle w:val="Heading2"/>
        <w:spacing w:after="100" w:before="240"/>
      </w:pPr>
      <w:r>
        <w:rPr>
          <w:rFonts w:ascii="Arial" w:cs="Arial" w:eastAsia="Arial" w:hAnsi="Arial"/>
          <w:b/>
          <w:bCs/>
          <w:color w:val="1E6E8E"/>
          <w:sz w:val="24"/>
          <w:szCs w:val="24"/>
        </w:rPr>
        <w:t xml:space="preserve">5.1 Ensemble Structure</w:t>
      </w:r>
    </w:p>
    <w:p>
      <w:pPr>
        <w:spacing w:after="100" w:before="60"/>
      </w:pPr>
      <w:r>
        <w:rPr>
          <w:rFonts w:ascii="Arial" w:cs="Arial" w:eastAsia="Arial" w:hAnsi="Arial"/>
          <w:color w:val="1A1A1A"/>
          <w:sz w:val="22"/>
          <w:szCs w:val="22"/>
        </w:rPr>
        <w:t xml:space="preserve">The model is a weighted ensemble of two components trained independently on the same walk-forward training fold: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3120"/>
        <w:gridCol w:w="300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Weight</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Hyperparameters</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Ridge Regression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alpha = 10.0, StandardScaler normalisation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Stable linear signal; interpretable coefficients; prevents overfit</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19"/>
                <w:szCs w:val="19"/>
              </w:rPr>
              <w:t xml:space="preserve">XGBoost</w:t>
            </w:r>
          </w:p>
        </w:tc>
        <w:tc>
          <w:tcPr>
            <w:tcW w:type="dxa" w:w="14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19"/>
                <w:szCs w:val="19"/>
              </w:rPr>
              <w:t xml:space="preserve">60%</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19"/>
                <w:szCs w:val="19"/>
              </w:rPr>
              <w:t xml:space="preserve">300 trees, depth 4, lr 0.05, col_sample 0.70, alpha 0.5, lambda 1.0, random_state 42</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19"/>
                <w:szCs w:val="19"/>
              </w:rPr>
              <w:t xml:space="preserve">Non-linear interaction capture; detects regime-dependent patterns Ridge cannot</w:t>
            </w:r>
          </w:p>
        </w:tc>
      </w:tr>
    </w:tbl>
    <w:p>
      <w:pPr>
        <w:spacing w:after="120" w:before="0"/>
      </w:pPr>
      <w:r>
        <w:t xml:space="preserve"/>
      </w:r>
    </w:p>
    <w:p>
      <w:pPr>
        <w:pStyle w:val="Heading2"/>
        <w:spacing w:after="100" w:before="240"/>
      </w:pPr>
      <w:r>
        <w:rPr>
          <w:rFonts w:ascii="Arial" w:cs="Arial" w:eastAsia="Arial" w:hAnsi="Arial"/>
          <w:b/>
          <w:bCs/>
          <w:color w:val="1E6E8E"/>
          <w:sz w:val="24"/>
          <w:szCs w:val="24"/>
        </w:rPr>
        <w:t xml:space="preserve">5.2 Prediction and Bet Logic</w:t>
      </w:r>
    </w:p>
    <w:p>
      <w:pPr>
        <w:spacing w:after="100" w:before="60"/>
      </w:pPr>
      <w:r>
        <w:rPr>
          <w:rFonts w:ascii="Arial" w:cs="Arial" w:eastAsia="Arial" w:hAnsi="Arial"/>
          <w:color w:val="1A1A1A"/>
          <w:sz w:val="22"/>
          <w:szCs w:val="22"/>
        </w:rPr>
        <w:t xml:space="preserve">For each game the ensemble produces a predicted home margin. The closing spread is then applied:</w:t>
      </w:r>
    </w:p>
    <w:p>
      <w:pPr>
        <w:spacing w:after="40" w:before="0"/>
      </w:pPr>
      <w:r>
        <w:t xml:space="preserve"/>
      </w:r>
    </w:p>
    <w:p>
      <w:pPr>
        <w:spacing w:after="100" w:before="60"/>
        <w:jc w:val="center"/>
      </w:pPr>
      <w:r>
        <w:rPr>
          <w:rFonts w:ascii="Arial" w:cs="Arial" w:eastAsia="Arial" w:hAnsi="Arial"/>
          <w:b/>
          <w:bCs/>
          <w:color w:val="1A1A1A"/>
          <w:sz w:val="22"/>
          <w:szCs w:val="22"/>
        </w:rPr>
        <w:t xml:space="preserve">Edge  =  Predicted Home Margin  +  Closing Spread (home convention)</w:t>
      </w:r>
    </w:p>
    <w:p>
      <w:pPr>
        <w:spacing w:after="40" w:before="0"/>
      </w:pPr>
      <w:r>
        <w:t xml:space="preserve"/>
      </w:r>
    </w:p>
    <w:p>
      <w:pPr>
        <w:spacing w:after="100" w:before="60"/>
      </w:pPr>
      <w:r>
        <w:rPr>
          <w:rFonts w:ascii="Arial" w:cs="Arial" w:eastAsia="Arial" w:hAnsi="Arial"/>
          <w:color w:val="1A1A1A"/>
          <w:sz w:val="22"/>
          <w:szCs w:val="22"/>
        </w:rPr>
        <w:t xml:space="preserve">The closing spread is negative when the home team is favoured (e.g., home -7 is encoded as -7.0). The edge formula therefore produces a positive value when our model predicts the home team will exceed the line, and a negative value when it predicts the away team covers.</w:t>
      </w:r>
    </w:p>
    <w:p>
      <w:pPr>
        <w:spacing w:after="60" w:before="0"/>
      </w:pPr>
      <w:r>
        <w:t xml:space="preserve"/>
      </w:r>
    </w:p>
    <w:p>
      <w:pPr>
        <w:spacing w:after="100" w:before="60"/>
      </w:pPr>
      <w:r>
        <w:rPr>
          <w:rFonts w:ascii="Arial" w:cs="Arial" w:eastAsia="Arial" w:hAnsi="Arial"/>
          <w:b/>
          <w:bCs/>
          <w:color w:val="1A1A1A"/>
          <w:sz w:val="22"/>
          <w:szCs w:val="22"/>
        </w:rPr>
        <w:t xml:space="preserve">Bet placed if:  |Edge| ≥ 3.5 points</w:t>
      </w:r>
      <w:r>
        <w:rPr>
          <w:rFonts w:ascii="Arial" w:cs="Arial" w:eastAsia="Arial" w:hAnsi="Arial"/>
          <w:color w:val="1A1A1A"/>
          <w:sz w:val="22"/>
          <w:szCs w:val="22"/>
        </w:rPr>
        <w:t xml:space="preserve">  — bet on home if edge &gt; 0, away if edge &lt; 0.</w:t>
      </w:r>
    </w:p>
    <w:p>
      <w:pPr>
        <w:spacing w:after="40" w:before="0"/>
      </w:pPr>
      <w:r>
        <w:t xml:space="preserve"/>
      </w:r>
    </w:p>
    <w:p>
      <w:pPr>
        <w:spacing w:after="100" w:before="60"/>
      </w:pPr>
      <w:r>
        <w:rPr>
          <w:rFonts w:ascii="Arial" w:cs="Arial" w:eastAsia="Arial" w:hAnsi="Arial"/>
          <w:b/>
          <w:bCs/>
          <w:color w:val="1A1A1A"/>
          <w:sz w:val="22"/>
          <w:szCs w:val="22"/>
        </w:rPr>
        <w:t xml:space="preserve">Home covers if:  Actual Margin + Closing Spread &gt; 0</w:t>
      </w:r>
      <w:r>
        <w:rPr>
          <w:rFonts w:ascii="Arial" w:cs="Arial" w:eastAsia="Arial" w:hAnsi="Arial"/>
          <w:color w:val="1A1A1A"/>
          <w:sz w:val="22"/>
          <w:szCs w:val="22"/>
        </w:rPr>
        <w:t xml:space="preserve">  (i.e., home won by more than the line required).</w:t>
      </w:r>
    </w:p>
    <w:p>
      <w:pPr>
        <w:spacing w:after="160" w:before="0"/>
      </w:pPr>
      <w:r>
        <w:t xml:space="preserve"/>
      </w:r>
    </w:p>
    <w:p>
      <w:pPr>
        <w:pStyle w:val="Heading1"/>
        <w:pBdr>
          <w:bottom w:val="single" w:color="1E6E8E" w:sz="6" w:space="6"/>
        </w:pBdr>
        <w:spacing w:after="160" w:before="360"/>
      </w:pPr>
      <w:r>
        <w:rPr>
          <w:rFonts w:ascii="Arial" w:cs="Arial" w:eastAsia="Arial" w:hAnsi="Arial"/>
          <w:b/>
          <w:bCs/>
          <w:color w:val="1B3A6B"/>
          <w:sz w:val="30"/>
          <w:szCs w:val="30"/>
        </w:rPr>
        <w:t xml:space="preserve">6. Validation Methodology</w:t>
      </w:r>
    </w:p>
    <w:p>
      <w:pPr>
        <w:pStyle w:val="Heading2"/>
        <w:spacing w:after="100" w:before="240"/>
      </w:pPr>
      <w:r>
        <w:rPr>
          <w:rFonts w:ascii="Arial" w:cs="Arial" w:eastAsia="Arial" w:hAnsi="Arial"/>
          <w:b/>
          <w:bCs/>
          <w:color w:val="1E6E8E"/>
          <w:sz w:val="24"/>
          <w:szCs w:val="24"/>
        </w:rPr>
        <w:t xml:space="preserve">6.1 Walk-Forward Backtest</w:t>
      </w:r>
    </w:p>
    <w:p>
      <w:pPr>
        <w:spacing w:after="100" w:before="60"/>
      </w:pPr>
      <w:r>
        <w:rPr>
          <w:rFonts w:ascii="Arial" w:cs="Arial" w:eastAsia="Arial" w:hAnsi="Arial"/>
          <w:color w:val="1A1A1A"/>
          <w:sz w:val="22"/>
          <w:szCs w:val="22"/>
        </w:rPr>
        <w:t xml:space="preserve">The model is validated using a strict walk-forward (expanding window) backtest. For each test season, the model is trained exclusively on all prior seasons' data. No future information enters the training fold at any point.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80"/>
        <w:gridCol w:w="258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Season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Training Seasons</w:t>
            </w:r>
          </w:p>
        </w:tc>
        <w:tc>
          <w:tcPr>
            <w:tcW w:type="dxa" w:w="25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Training Games</w:t>
            </w:r>
          </w:p>
        </w:tc>
        <w:tc>
          <w:tcPr>
            <w:tcW w:type="dxa" w:w="25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Games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2020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2019</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118</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147</w:t>
            </w:r>
          </w:p>
        </w:tc>
      </w:tr>
      <w:tr>
        <w:tc>
          <w:tcPr>
            <w:tcW w:type="dxa" w:w="1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2021</w:t>
            </w:r>
          </w:p>
        </w:tc>
        <w:tc>
          <w:tcPr>
            <w:tcW w:type="dxa" w:w="24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2019–2020</w:t>
            </w:r>
          </w:p>
        </w:tc>
        <w:tc>
          <w:tcPr>
            <w:tcW w:type="dxa" w:w="258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265</w:t>
            </w:r>
          </w:p>
        </w:tc>
        <w:tc>
          <w:tcPr>
            <w:tcW w:type="dxa" w:w="258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218</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2022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2019–2021</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601</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250</w:t>
            </w:r>
          </w:p>
        </w:tc>
      </w:tr>
      <w:tr>
        <w:tc>
          <w:tcPr>
            <w:tcW w:type="dxa" w:w="1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2023</w:t>
            </w:r>
          </w:p>
        </w:tc>
        <w:tc>
          <w:tcPr>
            <w:tcW w:type="dxa" w:w="24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2019–2022</w:t>
            </w:r>
          </w:p>
        </w:tc>
        <w:tc>
          <w:tcPr>
            <w:tcW w:type="dxa" w:w="258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851</w:t>
            </w:r>
          </w:p>
        </w:tc>
        <w:tc>
          <w:tcPr>
            <w:tcW w:type="dxa" w:w="258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273</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2024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2019–2023</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1,124</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263</w:t>
            </w:r>
          </w:p>
        </w:tc>
      </w:tr>
      <w:tr>
        <w:tc>
          <w:tcPr>
            <w:tcW w:type="dxa" w:w="1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2025</w:t>
            </w:r>
          </w:p>
        </w:tc>
        <w:tc>
          <w:tcPr>
            <w:tcW w:type="dxa" w:w="24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2019–2024</w:t>
            </w:r>
          </w:p>
        </w:tc>
        <w:tc>
          <w:tcPr>
            <w:tcW w:type="dxa" w:w="258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1,399</w:t>
            </w:r>
          </w:p>
        </w:tc>
        <w:tc>
          <w:tcPr>
            <w:tcW w:type="dxa" w:w="258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327</w:t>
            </w:r>
          </w:p>
        </w:tc>
      </w:tr>
    </w:tbl>
    <w:p>
      <w:pPr>
        <w:spacing w:after="120" w:before="0"/>
      </w:pPr>
      <w:r>
        <w:t xml:space="preserve"/>
      </w:r>
    </w:p>
    <w:p>
      <w:pPr>
        <w:pStyle w:val="Heading2"/>
        <w:spacing w:after="100" w:before="240"/>
      </w:pPr>
      <w:r>
        <w:rPr>
          <w:rFonts w:ascii="Arial" w:cs="Arial" w:eastAsia="Arial" w:hAnsi="Arial"/>
          <w:b/>
          <w:bCs/>
          <w:color w:val="1E6E8E"/>
          <w:sz w:val="24"/>
          <w:szCs w:val="24"/>
        </w:rPr>
        <w:t xml:space="preserve">6.2 Imputation Protocol</w:t>
      </w:r>
    </w:p>
    <w:p>
      <w:pPr>
        <w:spacing w:after="100" w:before="60"/>
      </w:pPr>
      <w:r>
        <w:rPr>
          <w:rFonts w:ascii="Arial" w:cs="Arial" w:eastAsia="Arial" w:hAnsi="Arial"/>
          <w:color w:val="1A1A1A"/>
          <w:sz w:val="22"/>
          <w:szCs w:val="22"/>
        </w:rPr>
        <w:t xml:space="preserve">Missing feature values are imputed with the median value computed from the training fold only. Test fold values are imputed with training-fold medians — no information from the test period enters the imputation. Feature coverage is 99–100% across all seasons for all 25 selected features, making imputation a negligible factor.</w:t>
      </w:r>
    </w:p>
    <w:p>
      <w:pPr>
        <w:spacing w:after="60" w:before="0"/>
      </w:pPr>
      <w:r>
        <w:t xml:space="preserve"/>
      </w:r>
    </w:p>
    <w:p>
      <w:pPr>
        <w:pStyle w:val="Heading2"/>
        <w:spacing w:after="100" w:before="240"/>
      </w:pPr>
      <w:r>
        <w:rPr>
          <w:rFonts w:ascii="Arial" w:cs="Arial" w:eastAsia="Arial" w:hAnsi="Arial"/>
          <w:b/>
          <w:bCs/>
          <w:color w:val="1E6E8E"/>
          <w:sz w:val="24"/>
          <w:szCs w:val="24"/>
        </w:rPr>
        <w:t xml:space="preserve">6.3 ATS Evaluation Protocol</w:t>
      </w:r>
    </w:p>
    <w:p>
      <w:pPr>
        <w:spacing w:after="100" w:before="60"/>
      </w:pPr>
      <w:r>
        <w:rPr>
          <w:rFonts w:ascii="Arial" w:cs="Arial" w:eastAsia="Arial" w:hAnsi="Arial"/>
          <w:color w:val="1A1A1A"/>
          <w:sz w:val="22"/>
          <w:szCs w:val="22"/>
        </w:rPr>
        <w:t xml:space="preserve">ATS evaluation is performed using closing spreads only (never opening lines). The spread column is held entirely outside the feature space and is accessed only after predictions are generated. Statistical significance is assessed using a one-sided binomial test against a null hypothesis of 50% ATS.</w:t>
      </w:r>
    </w:p>
    <w:p>
      <w:r>
        <w:br w:type="page"/>
      </w:r>
    </w:p>
    <w:p>
      <w:pPr>
        <w:pStyle w:val="Heading1"/>
        <w:pBdr>
          <w:bottom w:val="single" w:color="1E6E8E" w:sz="6" w:space="6"/>
        </w:pBdr>
        <w:spacing w:after="160" w:before="360"/>
      </w:pPr>
      <w:r>
        <w:rPr>
          <w:rFonts w:ascii="Arial" w:cs="Arial" w:eastAsia="Arial" w:hAnsi="Arial"/>
          <w:b/>
          <w:bCs/>
          <w:color w:val="1B3A6B"/>
          <w:sz w:val="30"/>
          <w:szCs w:val="30"/>
        </w:rPr>
        <w:t xml:space="preserve">7. Results</w:t>
      </w:r>
    </w:p>
    <w:p>
      <w:pPr>
        <w:pStyle w:val="Heading2"/>
        <w:spacing w:after="100" w:before="240"/>
      </w:pPr>
      <w:r>
        <w:rPr>
          <w:rFonts w:ascii="Arial" w:cs="Arial" w:eastAsia="Arial" w:hAnsi="Arial"/>
          <w:b/>
          <w:bCs/>
          <w:color w:val="1E6E8E"/>
          <w:sz w:val="24"/>
          <w:szCs w:val="24"/>
        </w:rPr>
        <w:t xml:space="preserve">7.1 Aggregate Performance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900"/>
        <w:gridCol w:w="1600"/>
        <w:gridCol w:w="1460"/>
      </w:tblGrid>
      <w:tr>
        <w:tc>
          <w:tcPr>
            <w:tcW w:type="dxa" w:w="2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ATS %</w:t>
            </w:r>
          </w:p>
        </w:tc>
        <w:tc>
          <w:tcPr>
            <w:tcW w:type="dxa" w:w="1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Correct / Bets</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p-value</w:t>
            </w:r>
          </w:p>
        </w:tc>
        <w:tc>
          <w:tcPr>
            <w:tcW w:type="dxa" w:w="1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vs Break-Even</w:t>
            </w:r>
          </w:p>
        </w:tc>
      </w:tr>
      <w:tr>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Pruned Ensemble (25f)</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55.00%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287 / 522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0.013 **</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+2.62 pp</w:t>
            </w:r>
          </w:p>
        </w:tc>
      </w:tr>
      <w:tr>
        <w:tc>
          <w:tcPr>
            <w:tcW w:type="dxa" w:w="29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Pruned XGBoost only</w:t>
            </w:r>
          </w:p>
        </w:tc>
        <w:tc>
          <w:tcPr>
            <w:tcW w:type="dxa" w:w="15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53.95%</w:t>
            </w:r>
          </w:p>
        </w:tc>
        <w:tc>
          <w:tcPr>
            <w:tcW w:type="dxa" w:w="19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314 / 582</w:t>
            </w:r>
          </w:p>
        </w:tc>
        <w:tc>
          <w:tcPr>
            <w:tcW w:type="dxa" w:w="16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0.031 *</w:t>
            </w:r>
          </w:p>
        </w:tc>
        <w:tc>
          <w:tcPr>
            <w:tcW w:type="dxa" w:w="14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+1.57 pp</w:t>
            </w:r>
          </w:p>
        </w:tc>
      </w:tr>
      <w:tr>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Pruned Ridge only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53.06%</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234 / 441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0.108</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+0.68 pp</w:t>
            </w:r>
          </w:p>
        </w:tc>
      </w:tr>
      <w:tr>
        <w:tc>
          <w:tcPr>
            <w:tcW w:type="dxa" w:w="29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Prior Baseline (60f)</w:t>
            </w:r>
          </w:p>
        </w:tc>
        <w:tc>
          <w:tcPr>
            <w:tcW w:type="dxa" w:w="15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52.32%</w:t>
            </w:r>
          </w:p>
        </w:tc>
        <w:tc>
          <w:tcPr>
            <w:tcW w:type="dxa" w:w="19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259 / 495</w:t>
            </w:r>
          </w:p>
        </w:tc>
        <w:tc>
          <w:tcPr>
            <w:tcW w:type="dxa" w:w="16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0.161</w:t>
            </w:r>
          </w:p>
        </w:tc>
        <w:tc>
          <w:tcPr>
            <w:tcW w:type="dxa" w:w="14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-0.06 pp</w:t>
            </w:r>
          </w:p>
        </w:tc>
      </w:tr>
      <w:tr>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Break-Even (-110)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52.38%</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E8E" w:sz="12"/>
              <w:bottom w:val="none" w:color="FFFFFF" w:sz="0"/>
              <w:right w:val="none" w:color="FFFFFF" w:sz="0"/>
            </w:tcBorders>
            <w:shd w:fill="F2F4F7" w:val="clear"/>
            <w:tcMar>
              <w:top w:type="dxa" w:w="120"/>
              <w:left w:type="dxa" w:w="200"/>
              <w:bottom w:type="dxa" w:w="120"/>
              <w:right w:type="dxa" w:w="120"/>
            </w:tcMar>
          </w:tcPr>
          <w:p>
            <w:pPr>
              <w:spacing w:after="40" w:before="0"/>
            </w:pPr>
            <w:r>
              <w:rPr>
                <w:rFonts w:ascii="Arial" w:cs="Arial" w:eastAsia="Arial" w:hAnsi="Arial"/>
                <w:b/>
                <w:bCs/>
                <w:color w:val="1B3A6B"/>
                <w:sz w:val="20"/>
                <w:szCs w:val="20"/>
              </w:rPr>
              <w:t xml:space="preserve">Key Finding</w:t>
            </w:r>
          </w:p>
          <w:p>
            <w:pPr>
              <w:spacing w:after="0" w:before="0"/>
            </w:pPr>
            <w:r>
              <w:rPr>
                <w:rFonts w:ascii="Arial" w:cs="Arial" w:eastAsia="Arial" w:hAnsi="Arial"/>
                <w:color w:val="1A1A1A"/>
                <w:sz w:val="20"/>
                <w:szCs w:val="20"/>
              </w:rPr>
              <w:t xml:space="preserve">Pruning from 60 to 25 features improved ensemble ATS from 52.3% (not significant) to 55.0% (p=0.013). Ridge improved from 49.7% — a coin flip — to 53.1%, demonstrating that the pruned feature set contains genuine linear signal that was previously obscured by correlated noise features.</w:t>
            </w:r>
          </w:p>
        </w:tc>
      </w:tr>
    </w:tbl>
    <w:p>
      <w:pPr>
        <w:spacing w:after="120" w:before="0"/>
      </w:pPr>
      <w:r>
        <w:t xml:space="preserve"/>
      </w:r>
    </w:p>
    <w:p>
      <w:pPr>
        <w:pStyle w:val="Heading2"/>
        <w:spacing w:after="100" w:before="240"/>
      </w:pPr>
      <w:r>
        <w:rPr>
          <w:rFonts w:ascii="Arial" w:cs="Arial" w:eastAsia="Arial" w:hAnsi="Arial"/>
          <w:b/>
          <w:bCs/>
          <w:color w:val="1E6E8E"/>
          <w:sz w:val="24"/>
          <w:szCs w:val="24"/>
        </w:rPr>
        <w:t xml:space="preserve">7.2 Season-by-Season Breakdown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200"/>
        <w:gridCol w:w="1300"/>
        <w:gridCol w:w="1600"/>
        <w:gridCol w:w="3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Season</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Bets</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Correct</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ATS %</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p-value</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2022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101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63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62.4%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0.008 **</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Strong — first year of spread data</w:t>
            </w:r>
          </w:p>
        </w:tc>
      </w:tr>
      <w:tr>
        <w:tc>
          <w:tcPr>
            <w:tcW w:type="dxa" w:w="1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2023</w:t>
            </w:r>
          </w:p>
        </w:tc>
        <w:tc>
          <w:tcPr>
            <w:tcW w:type="dxa" w:w="9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154</w:t>
            </w:r>
          </w:p>
        </w:tc>
        <w:tc>
          <w:tcPr>
            <w:tcW w:type="dxa" w:w="1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77</w:t>
            </w:r>
          </w:p>
        </w:tc>
        <w:tc>
          <w:tcPr>
            <w:tcW w:type="dxa" w:w="13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50.0%</w:t>
            </w:r>
          </w:p>
        </w:tc>
        <w:tc>
          <w:tcPr>
            <w:tcW w:type="dxa" w:w="16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0.532</w:t>
            </w:r>
          </w:p>
        </w:tc>
        <w:tc>
          <w:tcPr>
            <w:tcW w:type="dxa" w:w="31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Flat — model at market efficiency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2024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134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65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48.5%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0.667</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Weak — slightly below break-even</w:t>
            </w:r>
          </w:p>
        </w:tc>
      </w:tr>
      <w:tr>
        <w:tc>
          <w:tcPr>
            <w:tcW w:type="dxa" w:w="1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2025</w:t>
            </w:r>
          </w:p>
        </w:tc>
        <w:tc>
          <w:tcPr>
            <w:tcW w:type="dxa" w:w="9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133</w:t>
            </w:r>
          </w:p>
        </w:tc>
        <w:tc>
          <w:tcPr>
            <w:tcW w:type="dxa" w:w="1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82</w:t>
            </w:r>
          </w:p>
        </w:tc>
        <w:tc>
          <w:tcPr>
            <w:tcW w:type="dxa" w:w="13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61.7%</w:t>
            </w:r>
          </w:p>
        </w:tc>
        <w:tc>
          <w:tcPr>
            <w:tcW w:type="dxa" w:w="16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0.005 **</w:t>
            </w:r>
          </w:p>
        </w:tc>
        <w:tc>
          <w:tcPr>
            <w:tcW w:type="dxa" w:w="31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Strong — most recent season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Total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522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287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55.0%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0.013 **</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E8E" w:sz="12"/>
              <w:bottom w:val="none" w:color="FFFFFF" w:sz="0"/>
              <w:right w:val="none" w:color="FFFFFF" w:sz="0"/>
            </w:tcBorders>
            <w:shd w:fill="F2F4F7" w:val="clear"/>
            <w:tcMar>
              <w:top w:type="dxa" w:w="120"/>
              <w:left w:type="dxa" w:w="200"/>
              <w:bottom w:type="dxa" w:w="120"/>
              <w:right w:type="dxa" w:w="120"/>
            </w:tcMar>
          </w:tcPr>
          <w:p>
            <w:pPr>
              <w:spacing w:after="40" w:before="0"/>
            </w:pPr>
            <w:r>
              <w:rPr>
                <w:rFonts w:ascii="Arial" w:cs="Arial" w:eastAsia="Arial" w:hAnsi="Arial"/>
                <w:b/>
                <w:bCs/>
                <w:color w:val="1B3A6B"/>
                <w:sz w:val="20"/>
                <w:szCs w:val="20"/>
              </w:rPr>
              <w:t xml:space="preserve">Variance Note</w:t>
            </w:r>
          </w:p>
          <w:p>
            <w:pPr>
              <w:spacing w:after="0" w:before="0"/>
            </w:pPr>
            <w:r>
              <w:rPr>
                <w:rFonts w:ascii="Arial" w:cs="Arial" w:eastAsia="Arial" w:hAnsi="Arial"/>
                <w:color w:val="1A1A1A"/>
                <w:sz w:val="20"/>
                <w:szCs w:val="20"/>
              </w:rPr>
              <w:t xml:space="preserve">The model shows high season-to-season variance (62%, 50%, 49%, 62%). Two strong seasons bookend two flat-to-negative seasons. With only four seasons of spread data, this pattern could reflect genuine structural variation (different market efficiency across seasons) or sampling noise. The 2026 season will be the first true out-of-sample test.</w:t>
            </w:r>
          </w:p>
        </w:tc>
      </w:tr>
    </w:tbl>
    <w:p>
      <w:pPr>
        <w:spacing w:after="120" w:before="0"/>
      </w:pPr>
      <w:r>
        <w:t xml:space="preserve"/>
      </w:r>
    </w:p>
    <w:p>
      <w:pPr>
        <w:pStyle w:val="Heading2"/>
        <w:spacing w:after="100" w:before="240"/>
      </w:pPr>
      <w:r>
        <w:rPr>
          <w:rFonts w:ascii="Arial" w:cs="Arial" w:eastAsia="Arial" w:hAnsi="Arial"/>
          <w:b/>
          <w:bCs/>
          <w:color w:val="1E6E8E"/>
          <w:sz w:val="24"/>
          <w:szCs w:val="24"/>
        </w:rPr>
        <w:t xml:space="preserve">7.3 Ridge Sign Consistency</w:t>
      </w:r>
    </w:p>
    <w:p>
      <w:pPr>
        <w:spacing w:after="100" w:before="60"/>
      </w:pPr>
      <w:r>
        <w:rPr>
          <w:rFonts w:ascii="Arial" w:cs="Arial" w:eastAsia="Arial" w:hAnsi="Arial"/>
          <w:color w:val="1A1A1A"/>
          <w:sz w:val="22"/>
          <w:szCs w:val="22"/>
        </w:rPr>
        <w:t xml:space="preserve">Ridge regression coefficient signs serve as an independent check on whether the model reasons in economically sensible directions. The pruned model improved sign consistency from 57% (baseline) to 68% — meaning 17 of 25 features push predictions in the expected basketball direction.</w:t>
      </w:r>
    </w:p>
    <w:p>
      <w:pPr>
        <w:spacing w:after="60" w:before="0"/>
      </w:pPr>
      <w:r>
        <w:t xml:space="preserve"/>
      </w:r>
    </w:p>
    <w:p>
      <w:pPr>
        <w:spacing w:after="100" w:before="60"/>
      </w:pPr>
      <w:r>
        <w:rPr>
          <w:rFonts w:ascii="Arial" w:cs="Arial" w:eastAsia="Arial" w:hAnsi="Arial"/>
          <w:color w:val="1A1A1A"/>
          <w:sz w:val="22"/>
          <w:szCs w:val="22"/>
        </w:rPr>
        <w:t xml:space="preserve">The six core team-strength features (net_rtg, margin, pm_per_min for home and away) all have correct signs, confirming the model's primary signal is economically coherent. Remaining sign inconsistencies are confined to peripheral features (pace, days_rest, ft_rate) where the direction is genuinely ambiguous due to market pre-pricing.</w:t>
      </w:r>
    </w:p>
    <w:p>
      <w:r>
        <w:br w:type="page"/>
      </w:r>
    </w:p>
    <w:p>
      <w:pPr>
        <w:pStyle w:val="Heading1"/>
        <w:pBdr>
          <w:bottom w:val="single" w:color="1E6E8E" w:sz="6" w:space="6"/>
        </w:pBdr>
        <w:spacing w:after="160" w:before="360"/>
      </w:pPr>
      <w:r>
        <w:rPr>
          <w:rFonts w:ascii="Arial" w:cs="Arial" w:eastAsia="Arial" w:hAnsi="Arial"/>
          <w:b/>
          <w:bCs/>
          <w:color w:val="1B3A6B"/>
          <w:sz w:val="30"/>
          <w:szCs w:val="30"/>
        </w:rPr>
        <w:t xml:space="preserve">8. Pipeline Audit</w:t>
      </w:r>
    </w:p>
    <w:p>
      <w:pPr>
        <w:spacing w:after="100" w:before="60"/>
      </w:pPr>
      <w:r>
        <w:rPr>
          <w:rFonts w:ascii="Arial" w:cs="Arial" w:eastAsia="Arial" w:hAnsi="Arial"/>
          <w:color w:val="1A1A1A"/>
          <w:sz w:val="22"/>
          <w:szCs w:val="22"/>
        </w:rPr>
        <w:t xml:space="preserve">A 23-point automated audit was run against the production pipeline. Results are summarised below.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800"/>
        <w:gridCol w:w="2460"/>
      </w:tblGrid>
      <w:tr>
        <w:tc>
          <w:tcPr>
            <w:tcW w:type="dxa" w:w="2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Section</w:t>
            </w:r>
          </w:p>
        </w:tc>
        <w:tc>
          <w:tcPr>
            <w:tcW w:type="dxa" w:w="4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Check</w:t>
            </w:r>
          </w:p>
        </w:tc>
        <w:tc>
          <w:tcPr>
            <w:tcW w:type="dxa" w:w="2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Data Integrity</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All 25 features present in gold parquet</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PASS</w:t>
            </w:r>
          </w:p>
        </w:tc>
      </w:tr>
      <w:tr>
        <w:tc>
          <w:tcPr>
            <w:tcW w:type="dxa" w:w="21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Data Integrity</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Target (H_PTS - A_PTS) valid for all 1,726 games</w:t>
            </w:r>
          </w:p>
        </w:tc>
        <w:tc>
          <w:tcPr>
            <w:tcW w:type="dxa" w:w="24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PASS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Data Integrity</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Season range 2019–2025</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PASS</w:t>
            </w:r>
          </w:p>
        </w:tc>
      </w:tr>
      <w:tr>
        <w:tc>
          <w:tcPr>
            <w:tcW w:type="dxa" w:w="21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Data Integrity</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Spread data: 0 games pre-2022, 207–263 from 2022+</w:t>
            </w:r>
          </w:p>
        </w:tc>
        <w:tc>
          <w:tcPr>
            <w:tcW w:type="dxa" w:w="24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PASS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Data Integrity</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Zero duplicate EVENT_IDs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PASS</w:t>
            </w:r>
          </w:p>
        </w:tc>
      </w:tr>
      <w:tr>
        <w:tc>
          <w:tcPr>
            <w:tcW w:type="dxa" w:w="21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Data Integrity</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Feature values within plausible basketball ranges</w:t>
            </w:r>
          </w:p>
        </w:tc>
        <w:tc>
          <w:tcPr>
            <w:tcW w:type="dxa" w:w="24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NOTE*</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Leakage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Closing spread excluded from feature space</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PASS</w:t>
            </w:r>
          </w:p>
        </w:tc>
      </w:tr>
      <w:tr>
        <w:tc>
          <w:tcPr>
            <w:tcW w:type="dxa" w:w="21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Leakage</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H_PTS, A_PTS, home_margin, home_win excluded</w:t>
            </w:r>
          </w:p>
        </w:tc>
        <w:tc>
          <w:tcPr>
            <w:tcW w:type="dxa" w:w="24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PASS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Leakage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Max |r| with target = 0.278 (threshold 0.45)</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PASS</w:t>
            </w:r>
          </w:p>
        </w:tc>
      </w:tr>
      <w:tr>
        <w:tc>
          <w:tcPr>
            <w:tcW w:type="dxa" w:w="21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Leakage</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Rolling features use shift(1) — same-game r &lt; 0.35</w:t>
            </w:r>
          </w:p>
        </w:tc>
        <w:tc>
          <w:tcPr>
            <w:tcW w:type="dxa" w:w="24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PASS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Leakage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Training-fold medians used for imputation</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PASS</w:t>
            </w:r>
          </w:p>
        </w:tc>
      </w:tr>
      <w:tr>
        <w:tc>
          <w:tcPr>
            <w:tcW w:type="dxa" w:w="21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ATS Formula</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Spread is negative for 66% of games (home favorites)</w:t>
            </w:r>
          </w:p>
        </w:tc>
        <w:tc>
          <w:tcPr>
            <w:tcW w:type="dxa" w:w="24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PASS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ATS Formula</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r(spread, margin) = -0.50 (correct sign)</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PASS</w:t>
            </w:r>
          </w:p>
        </w:tc>
      </w:tr>
      <w:tr>
        <w:tc>
          <w:tcPr>
            <w:tcW w:type="dxa" w:w="21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ATS Formula</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Correct formula gives ~46% coverage rate (near 50%)</w:t>
            </w:r>
          </w:p>
        </w:tc>
        <w:tc>
          <w:tcPr>
            <w:tcW w:type="dxa" w:w="24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PASS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ATS Formula</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Correct edge direction (away bets on large home favorites)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PASS</w:t>
            </w:r>
          </w:p>
        </w:tc>
      </w:tr>
      <w:tr>
        <w:tc>
          <w:tcPr>
            <w:tcW w:type="dxa" w:w="21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Backtest</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Zero EVENT_ID overlap between any train and test fold</w:t>
            </w:r>
          </w:p>
        </w:tc>
        <w:tc>
          <w:tcPr>
            <w:tcW w:type="dxa" w:w="24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PASS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Backtest</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Minimum training size: 601 games (2022 fold)</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PASS</w:t>
            </w:r>
          </w:p>
        </w:tc>
      </w:tr>
      <w:tr>
        <w:tc>
          <w:tcPr>
            <w:tcW w:type="dxa" w:w="21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Backtest</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All 25 features ≥70% coverage in every test season</w:t>
            </w:r>
          </w:p>
        </w:tc>
        <w:tc>
          <w:tcPr>
            <w:tcW w:type="dxa" w:w="24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PASS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Backtest</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Spread data sufficient (&gt;50 games) in all test seasons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PASS</w:t>
            </w:r>
          </w:p>
        </w:tc>
      </w:tr>
      <w:tr>
        <w:tc>
          <w:tcPr>
            <w:tcW w:type="dxa" w:w="21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Reproducibility</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Identical predictions on two independent runs</w:t>
            </w:r>
          </w:p>
        </w:tc>
        <w:tc>
          <w:tcPr>
            <w:tcW w:type="dxa" w:w="24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PASS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Reproducibility</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2025 ATS matches independently computed value</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PASS</w:t>
            </w:r>
          </w:p>
        </w:tc>
      </w:tr>
      <w:tr>
        <w:tc>
          <w:tcPr>
            <w:tcW w:type="dxa" w:w="21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Economic Logic</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Ridge sign consistency 68% (baseline: 57%)</w:t>
            </w:r>
          </w:p>
        </w:tc>
        <w:tc>
          <w:tcPr>
            <w:tcW w:type="dxa" w:w="24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PASS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Economic Logic</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All 6 core strength features have correct signs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PASS</w:t>
            </w:r>
          </w:p>
        </w:tc>
      </w:tr>
    </w:tbl>
    <w:p>
      <w:pPr>
        <w:spacing w:after="80" w:before="0"/>
      </w:pPr>
      <w:r>
        <w:t xml:space="preserve"/>
      </w:r>
    </w:p>
    <w:p>
      <w:pPr>
        <w:spacing w:after="100" w:before="60"/>
      </w:pPr>
      <w:r>
        <w:rPr>
          <w:rFonts w:ascii="Arial" w:cs="Arial" w:eastAsia="Arial" w:hAnsi="Arial"/>
          <w:color w:val="1A1A1A"/>
          <w:sz w:val="22"/>
          <w:szCs w:val="22"/>
        </w:rPr>
        <w:t xml:space="preserve">* </w:t>
      </w:r>
      <w:r>
        <w:rPr>
          <w:rFonts w:ascii="Arial" w:cs="Arial" w:eastAsia="Arial" w:hAnsi="Arial"/>
          <w:i/>
          <w:iCs/>
          <w:color w:val="1A1A1A"/>
          <w:sz w:val="22"/>
          <w:szCs w:val="22"/>
        </w:rPr>
        <w:t xml:space="preserve">home_margin_r10 reached a maximum of 34.0 points, slightly above the audited range of [-30, 30]. This reflects a legitimate dominant 10-game stretch and is not a data error. The range check threshold was conservative. No action required.</w:t>
      </w:r>
    </w:p>
    <w:p>
      <w:pPr>
        <w:spacing w:after="160" w:before="0"/>
      </w:pPr>
      <w:r>
        <w:t xml:space="preserve"/>
      </w:r>
    </w:p>
    <w:p>
      <w:pPr>
        <w:pStyle w:val="Heading1"/>
        <w:pBdr>
          <w:bottom w:val="single" w:color="1E6E8E" w:sz="6" w:space="6"/>
        </w:pBdr>
        <w:spacing w:after="160" w:before="360"/>
      </w:pPr>
      <w:r>
        <w:rPr>
          <w:rFonts w:ascii="Arial" w:cs="Arial" w:eastAsia="Arial" w:hAnsi="Arial"/>
          <w:b/>
          <w:bCs/>
          <w:color w:val="1B3A6B"/>
          <w:sz w:val="30"/>
          <w:szCs w:val="30"/>
        </w:rPr>
        <w:t xml:space="preserve">9. Known Limitations</w:t>
      </w:r>
    </w:p>
    <w:p>
      <w:pPr>
        <w:spacing w:after="6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Small spread data sample. Only four seasons of closing spread data are available (2022–2025), representing 522 tracked bets. This limits the statistical power of the backtest and increases uncertainty around the true long-run edge.</w:t>
      </w:r>
    </w:p>
    <w:p>
      <w:pPr>
        <w:pStyle w:val="ListParagraph"/>
        <w:numPr>
          <w:ilvl w:val="0"/>
          <w:numId w:val="2"/>
        </w:numPr>
        <w:spacing w:after="40" w:before="40"/>
      </w:pPr>
      <w:r>
        <w:rPr>
          <w:rFonts w:ascii="Arial" w:cs="Arial" w:eastAsia="Arial" w:hAnsi="Arial"/>
          <w:color w:val="1A1A1A"/>
          <w:sz w:val="22"/>
          <w:szCs w:val="22"/>
        </w:rPr>
        <w:t xml:space="preserve">High season-to-season variance. ATS results range from 48.5% to 62.4% across four seasons. The causes of the 2023–2024 underperformance are not yet understood — possible explanations include market efficiency improvements in those years, roster instability during the expansion period, or sampling noise.</w:t>
      </w:r>
    </w:p>
    <w:p>
      <w:pPr>
        <w:pStyle w:val="ListParagraph"/>
        <w:numPr>
          <w:ilvl w:val="0"/>
          <w:numId w:val="2"/>
        </w:numPr>
        <w:spacing w:after="40" w:before="40"/>
      </w:pPr>
      <w:r>
        <w:rPr>
          <w:rFonts w:ascii="Arial" w:cs="Arial" w:eastAsia="Arial" w:hAnsi="Arial"/>
          <w:color w:val="1A1A1A"/>
          <w:sz w:val="22"/>
          <w:szCs w:val="22"/>
        </w:rPr>
        <w:t xml:space="preserve">Bet threshold was set empirically. The 3.5-point minimum edge threshold was chosen on backtest data. There is a modest risk this threshold is slightly overfit to the sample. Production tracking will allow recalibration after additional seasons.</w:t>
      </w:r>
    </w:p>
    <w:p>
      <w:pPr>
        <w:pStyle w:val="ListParagraph"/>
        <w:numPr>
          <w:ilvl w:val="0"/>
          <w:numId w:val="2"/>
        </w:numPr>
        <w:spacing w:after="40" w:before="40"/>
      </w:pPr>
      <w:r>
        <w:rPr>
          <w:rFonts w:ascii="Arial" w:cs="Arial" w:eastAsia="Arial" w:hAnsi="Arial"/>
          <w:color w:val="1A1A1A"/>
          <w:sz w:val="22"/>
          <w:szCs w:val="22"/>
        </w:rPr>
        <w:t xml:space="preserve">Cross-season rolling. Rolling features carry over across season boundaries. This is consistent with how team quality is typically viewed, but it means early-season predictions rely partly on the prior year's roster, which may have changed significantly.</w:t>
      </w:r>
    </w:p>
    <w:p>
      <w:pPr>
        <w:pStyle w:val="ListParagraph"/>
        <w:numPr>
          <w:ilvl w:val="0"/>
          <w:numId w:val="2"/>
        </w:numPr>
        <w:spacing w:after="40" w:before="40"/>
      </w:pPr>
      <w:r>
        <w:rPr>
          <w:rFonts w:ascii="Arial" w:cs="Arial" w:eastAsia="Arial" w:hAnsi="Arial"/>
          <w:color w:val="1A1A1A"/>
          <w:sz w:val="22"/>
          <w:szCs w:val="22"/>
        </w:rPr>
        <w:t xml:space="preserve">No injury or roster adjustment signal. Current features reflect historical rolling statistics and do not account for known player absences at game time. Roster quality degradation from injury is partially captured in recent rolling averages but with a lag.</w:t>
      </w:r>
    </w:p>
    <w:p>
      <w:pPr>
        <w:pStyle w:val="ListParagraph"/>
        <w:numPr>
          <w:ilvl w:val="0"/>
          <w:numId w:val="2"/>
        </w:numPr>
        <w:spacing w:after="40" w:before="40"/>
      </w:pPr>
      <w:r>
        <w:rPr>
          <w:rFonts w:ascii="Arial" w:cs="Arial" w:eastAsia="Arial" w:hAnsi="Arial"/>
          <w:color w:val="1A1A1A"/>
          <w:sz w:val="22"/>
          <w:szCs w:val="22"/>
        </w:rPr>
        <w:t xml:space="preserve">Model has not been tested on live data. The 2026 season will be the first true out-of-sample test. All prior results are in-sample with respect to the feature engineering decisions.</w:t>
      </w:r>
    </w:p>
    <w:p>
      <w:pPr>
        <w:spacing w:after="160" w:before="0"/>
      </w:pPr>
      <w:r>
        <w:t xml:space="preserve"/>
      </w:r>
    </w:p>
    <w:p>
      <w:pPr>
        <w:pStyle w:val="Heading1"/>
        <w:pBdr>
          <w:bottom w:val="single" w:color="1E6E8E" w:sz="6" w:space="6"/>
        </w:pBdr>
        <w:spacing w:after="160" w:before="360"/>
      </w:pPr>
      <w:r>
        <w:rPr>
          <w:rFonts w:ascii="Arial" w:cs="Arial" w:eastAsia="Arial" w:hAnsi="Arial"/>
          <w:b/>
          <w:bCs/>
          <w:color w:val="1B3A6B"/>
          <w:sz w:val="30"/>
          <w:szCs w:val="30"/>
        </w:rPr>
        <w:t xml:space="preserve">10. Next Steps</w:t>
      </w:r>
    </w:p>
    <w:p>
      <w:pPr>
        <w:pStyle w:val="Heading2"/>
        <w:spacing w:after="100" w:before="240"/>
      </w:pPr>
      <w:r>
        <w:rPr>
          <w:rFonts w:ascii="Arial" w:cs="Arial" w:eastAsia="Arial" w:hAnsi="Arial"/>
          <w:b/>
          <w:bCs/>
          <w:color w:val="1E6E8E"/>
          <w:sz w:val="24"/>
          <w:szCs w:val="24"/>
        </w:rPr>
        <w:t xml:space="preserve">Immediate</w:t>
      </w:r>
    </w:p>
    <w:p>
      <w:pPr>
        <w:pStyle w:val="ListParagraph"/>
        <w:numPr>
          <w:ilvl w:val="0"/>
          <w:numId w:val="2"/>
        </w:numPr>
        <w:spacing w:after="40" w:before="40"/>
      </w:pPr>
      <w:r>
        <w:rPr>
          <w:rFonts w:ascii="Arial" w:cs="Arial" w:eastAsia="Arial" w:hAnsi="Arial"/>
          <w:color w:val="1A1A1A"/>
          <w:sz w:val="22"/>
          <w:szCs w:val="22"/>
        </w:rPr>
        <w:t xml:space="preserve">Deploy the pruned ensemble for the 2026 WNBA season and begin live game-by-game tracking.</w:t>
      </w:r>
    </w:p>
    <w:p>
      <w:pPr>
        <w:pStyle w:val="ListParagraph"/>
        <w:numPr>
          <w:ilvl w:val="0"/>
          <w:numId w:val="2"/>
        </w:numPr>
        <w:spacing w:after="40" w:before="40"/>
      </w:pPr>
      <w:r>
        <w:rPr>
          <w:rFonts w:ascii="Arial" w:cs="Arial" w:eastAsia="Arial" w:hAnsi="Arial"/>
          <w:color w:val="1A1A1A"/>
          <w:sz w:val="22"/>
          <w:szCs w:val="22"/>
        </w:rPr>
        <w:t xml:space="preserve">Build a prediction tracker (spreadsheet or lightweight dashboard) logging each flagged bet, the predicted margin, actual result, and running ATS record.</w:t>
      </w:r>
    </w:p>
    <w:p>
      <w:pPr>
        <w:spacing w:after="40" w:before="0"/>
      </w:pPr>
      <w:r>
        <w:t xml:space="preserve"/>
      </w:r>
    </w:p>
    <w:p>
      <w:pPr>
        <w:pStyle w:val="Heading2"/>
        <w:spacing w:after="100" w:before="240"/>
      </w:pPr>
      <w:r>
        <w:rPr>
          <w:rFonts w:ascii="Arial" w:cs="Arial" w:eastAsia="Arial" w:hAnsi="Arial"/>
          <w:b/>
          <w:bCs/>
          <w:color w:val="1E6E8E"/>
          <w:sz w:val="24"/>
          <w:szCs w:val="24"/>
        </w:rPr>
        <w:t xml:space="preserve">During the 2026 Season</w:t>
      </w:r>
    </w:p>
    <w:p>
      <w:pPr>
        <w:pStyle w:val="ListParagraph"/>
        <w:numPr>
          <w:ilvl w:val="0"/>
          <w:numId w:val="2"/>
        </w:numPr>
        <w:spacing w:after="40" w:before="40"/>
      </w:pPr>
      <w:r>
        <w:rPr>
          <w:rFonts w:ascii="Arial" w:cs="Arial" w:eastAsia="Arial" w:hAnsi="Arial"/>
          <w:color w:val="1A1A1A"/>
          <w:sz w:val="22"/>
          <w:szCs w:val="22"/>
        </w:rPr>
        <w:t xml:space="preserve">Monitor rolling ATS in real time; investigate if the model starts the season cold (as it did in 2023–2024).</w:t>
      </w:r>
    </w:p>
    <w:p>
      <w:pPr>
        <w:pStyle w:val="ListParagraph"/>
        <w:numPr>
          <w:ilvl w:val="0"/>
          <w:numId w:val="2"/>
        </w:numPr>
        <w:spacing w:after="40" w:before="40"/>
      </w:pPr>
      <w:r>
        <w:rPr>
          <w:rFonts w:ascii="Arial" w:cs="Arial" w:eastAsia="Arial" w:hAnsi="Arial"/>
          <w:color w:val="1A1A1A"/>
          <w:sz w:val="22"/>
          <w:szCs w:val="22"/>
        </w:rPr>
        <w:t xml:space="preserve">Investigate the 2023–2024 underperformance: compare those seasons' team-level volatility, scoring environment, and market closing line quality against 2022 and 2025.</w:t>
      </w:r>
    </w:p>
    <w:p>
      <w:pPr>
        <w:spacing w:after="40" w:before="0"/>
      </w:pPr>
      <w:r>
        <w:t xml:space="preserve"/>
      </w:r>
    </w:p>
    <w:p>
      <w:pPr>
        <w:pStyle w:val="Heading2"/>
        <w:spacing w:after="100" w:before="240"/>
      </w:pPr>
      <w:r>
        <w:rPr>
          <w:rFonts w:ascii="Arial" w:cs="Arial" w:eastAsia="Arial" w:hAnsi="Arial"/>
          <w:b/>
          <w:bCs/>
          <w:color w:val="1E6E8E"/>
          <w:sz w:val="24"/>
          <w:szCs w:val="24"/>
        </w:rPr>
        <w:t xml:space="preserve">Post-2026 Season</w:t>
      </w:r>
    </w:p>
    <w:p>
      <w:pPr>
        <w:pStyle w:val="ListParagraph"/>
        <w:numPr>
          <w:ilvl w:val="0"/>
          <w:numId w:val="2"/>
        </w:numPr>
        <w:spacing w:after="40" w:before="40"/>
      </w:pPr>
      <w:r>
        <w:rPr>
          <w:rFonts w:ascii="Arial" w:cs="Arial" w:eastAsia="Arial" w:hAnsi="Arial"/>
          <w:color w:val="1A1A1A"/>
          <w:sz w:val="22"/>
          <w:szCs w:val="22"/>
        </w:rPr>
        <w:t xml:space="preserve">With a fifth season of spread data, re-run the walk-forward backtest and update all performance tables.</w:t>
      </w:r>
    </w:p>
    <w:p>
      <w:pPr>
        <w:pStyle w:val="ListParagraph"/>
        <w:numPr>
          <w:ilvl w:val="0"/>
          <w:numId w:val="2"/>
        </w:numPr>
        <w:spacing w:after="40" w:before="40"/>
      </w:pPr>
      <w:r>
        <w:rPr>
          <w:rFonts w:ascii="Arial" w:cs="Arial" w:eastAsia="Arial" w:hAnsi="Arial"/>
          <w:color w:val="1A1A1A"/>
          <w:sz w:val="22"/>
          <w:szCs w:val="22"/>
        </w:rPr>
        <w:t xml:space="preserve">Reconsider the 3.5-point edge threshold based on the expanded sample.</w:t>
      </w:r>
    </w:p>
    <w:p>
      <w:pPr>
        <w:pStyle w:val="ListParagraph"/>
        <w:numPr>
          <w:ilvl w:val="0"/>
          <w:numId w:val="2"/>
        </w:numPr>
        <w:spacing w:after="40" w:before="40"/>
      </w:pPr>
      <w:r>
        <w:rPr>
          <w:rFonts w:ascii="Arial" w:cs="Arial" w:eastAsia="Arial" w:hAnsi="Arial"/>
          <w:color w:val="1A1A1A"/>
          <w:sz w:val="22"/>
          <w:szCs w:val="22"/>
        </w:rPr>
        <w:t xml:space="preserve">Evaluate whether injury/availability data can be incorporated to sharpen early-week predictions.</w:t>
      </w:r>
    </w:p>
    <w:p>
      <w:pPr>
        <w:spacing w:after="200" w:before="0"/>
      </w:pPr>
      <w:r>
        <w:t xml:space="preserve"/>
      </w:r>
    </w:p>
    <w:p>
      <w:pPr>
        <w:pStyle w:val="Heading1"/>
        <w:pBdr>
          <w:bottom w:val="single" w:color="1E6E8E" w:sz="6" w:space="6"/>
        </w:pBdr>
        <w:spacing w:after="160" w:before="360"/>
      </w:pPr>
      <w:r>
        <w:rPr>
          <w:rFonts w:ascii="Arial" w:cs="Arial" w:eastAsia="Arial" w:hAnsi="Arial"/>
          <w:b/>
          <w:bCs/>
          <w:color w:val="1B3A6B"/>
          <w:sz w:val="30"/>
          <w:szCs w:val="30"/>
        </w:rPr>
        <w:t xml:space="preserve">Appendix — Complete Feature List</w:t>
      </w:r>
    </w:p>
    <w:p>
      <w:pPr>
        <w:spacing w:after="100" w:before="60"/>
      </w:pPr>
      <w:r>
        <w:rPr>
          <w:rFonts w:ascii="Arial" w:cs="Arial" w:eastAsia="Arial" w:hAnsi="Arial"/>
          <w:color w:val="1A1A1A"/>
          <w:sz w:val="22"/>
          <w:szCs w:val="22"/>
        </w:rPr>
        <w:t xml:space="preserve">The 25 features used in the production model, in the order they appear in the feature matrix:</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4800"/>
        <w:gridCol w:w="120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 Name</w:t>
            </w:r>
          </w:p>
        </w:tc>
        <w:tc>
          <w:tcPr>
            <w:tcW w:type="dxa" w:w="4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Window</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home_net_rtg_r10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Home team net rating (off. minus def. rating)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6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2</w:t>
            </w:r>
          </w:p>
        </w:tc>
        <w:tc>
          <w:tcPr>
            <w:tcW w:type="dxa" w:w="27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away_net_rtg_r10</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Away team net rating</w:t>
            </w:r>
          </w:p>
        </w:tc>
        <w:tc>
          <w:tcPr>
            <w:tcW w:type="dxa" w:w="1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3</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home_margin_r10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Home team average scoring margin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6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4</w:t>
            </w:r>
          </w:p>
        </w:tc>
        <w:tc>
          <w:tcPr>
            <w:tcW w:type="dxa" w:w="27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away_margin_r10</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Away team average scoring margin</w:t>
            </w:r>
          </w:p>
        </w:tc>
        <w:tc>
          <w:tcPr>
            <w:tcW w:type="dxa" w:w="1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5</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away_net_rtg_r5</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Away team net rating — short-term window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r5</w:t>
            </w:r>
          </w:p>
        </w:tc>
      </w:tr>
      <w:tr>
        <w:tc>
          <w:tcPr>
            <w:tcW w:type="dxa" w:w="6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6</w:t>
            </w:r>
          </w:p>
        </w:tc>
        <w:tc>
          <w:tcPr>
            <w:tcW w:type="dxa" w:w="27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away_margin_r5</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Away team scoring margin — short-term window</w:t>
            </w:r>
          </w:p>
        </w:tc>
        <w:tc>
          <w:tcPr>
            <w:tcW w:type="dxa" w:w="1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r5</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7</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home_pq_pm_per_min_r10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Home weighted player quality by +/- per minute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6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8</w:t>
            </w:r>
          </w:p>
        </w:tc>
        <w:tc>
          <w:tcPr>
            <w:tcW w:type="dxa" w:w="27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away_pq_pm_per_min_r10</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Away weighted player quality by +/- per minute</w:t>
            </w:r>
          </w:p>
        </w:tc>
        <w:tc>
          <w:tcPr>
            <w:tcW w:type="dxa" w:w="1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9</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away_pq_pm_per_min_r5</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Away player quality by +/- per minute — short-term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r5</w:t>
            </w:r>
          </w:p>
        </w:tc>
      </w:tr>
      <w:tr>
        <w:tc>
          <w:tcPr>
            <w:tcW w:type="dxa" w:w="6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10</w:t>
            </w:r>
          </w:p>
        </w:tc>
        <w:tc>
          <w:tcPr>
            <w:tcW w:type="dxa" w:w="27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home_pq_ast_pct_r10</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Home player-weighted assist rate (ball movement)</w:t>
            </w:r>
          </w:p>
        </w:tc>
        <w:tc>
          <w:tcPr>
            <w:tcW w:type="dxa" w:w="1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11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away_pq_ast_pct_r10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Away player-weighted assist 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6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12</w:t>
            </w:r>
          </w:p>
        </w:tc>
        <w:tc>
          <w:tcPr>
            <w:tcW w:type="dxa" w:w="27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home_pq_ts_pct_r10</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Home player-weighted true shooting %</w:t>
            </w:r>
          </w:p>
        </w:tc>
        <w:tc>
          <w:tcPr>
            <w:tcW w:type="dxa" w:w="1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13</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away_pq_ts_pct_r10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Away player-weighted true shooting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6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14</w:t>
            </w:r>
          </w:p>
        </w:tc>
        <w:tc>
          <w:tcPr>
            <w:tcW w:type="dxa" w:w="27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home_pq_tov_pct_r10</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Home player-weighted turnover rate</w:t>
            </w:r>
          </w:p>
        </w:tc>
        <w:tc>
          <w:tcPr>
            <w:tcW w:type="dxa" w:w="1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15</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away_pq_tov_pct_r10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Away player-weighted turnover 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6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16</w:t>
            </w:r>
          </w:p>
        </w:tc>
        <w:tc>
          <w:tcPr>
            <w:tcW w:type="dxa" w:w="27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home_pq_oreb_pct_r10</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Home player-weighted offensive rebounding rate</w:t>
            </w:r>
          </w:p>
        </w:tc>
        <w:tc>
          <w:tcPr>
            <w:tcW w:type="dxa" w:w="1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17</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away_pq_oreb_pct_r10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Away player-weighted offensive rebounding 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6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18</w:t>
            </w:r>
          </w:p>
        </w:tc>
        <w:tc>
          <w:tcPr>
            <w:tcW w:type="dxa" w:w="27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home_pq_efg_pct_r10</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Home player-weighted effective field goal %</w:t>
            </w:r>
          </w:p>
        </w:tc>
        <w:tc>
          <w:tcPr>
            <w:tcW w:type="dxa" w:w="1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19</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away_pq_efg_pct_r10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Away player-weighted effective field goal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6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20</w:t>
            </w:r>
          </w:p>
        </w:tc>
        <w:tc>
          <w:tcPr>
            <w:tcW w:type="dxa" w:w="27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home_pq_ft_rate_r10</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Home player-weighted free throw rate</w:t>
            </w:r>
          </w:p>
        </w:tc>
        <w:tc>
          <w:tcPr>
            <w:tcW w:type="dxa" w:w="1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21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away_pq_ft_rate_r10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Away player-weighted free throw 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6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22</w:t>
            </w:r>
          </w:p>
        </w:tc>
        <w:tc>
          <w:tcPr>
            <w:tcW w:type="dxa" w:w="27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home_pace_r10</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Home team pace (possessions per game)</w:t>
            </w:r>
          </w:p>
        </w:tc>
        <w:tc>
          <w:tcPr>
            <w:tcW w:type="dxa" w:w="1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23</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away_pace_r10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Away team pace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r10</w:t>
            </w:r>
          </w:p>
        </w:tc>
      </w:tr>
      <w:tr>
        <w:tc>
          <w:tcPr>
            <w:tcW w:type="dxa" w:w="6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left"/>
            </w:pPr>
            <w:r>
              <w:rPr>
                <w:rFonts w:ascii="Arial" w:cs="Arial" w:eastAsia="Arial" w:hAnsi="Arial"/>
                <w:color w:val="1A1A1A"/>
                <w:sz w:val="19"/>
                <w:szCs w:val="19"/>
              </w:rPr>
              <w:t xml:space="preserve">24</w:t>
            </w:r>
          </w:p>
        </w:tc>
        <w:tc>
          <w:tcPr>
            <w:tcW w:type="dxa" w:w="27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home_days_rest</w:t>
            </w:r>
          </w:p>
        </w:tc>
        <w:tc>
          <w:tcPr>
            <w:tcW w:type="dxa" w:w="4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Days since home team's last game</w:t>
            </w:r>
          </w:p>
        </w:tc>
        <w:tc>
          <w:tcPr>
            <w:tcW w:type="dxa" w:w="1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pPr>
              <w:jc w:val="center"/>
            </w:pPr>
            <w:r>
              <w:rPr>
                <w:rFonts w:ascii="Arial" w:cs="Arial" w:eastAsia="Arial" w:hAnsi="Arial"/>
                <w:color w:val="1A1A1A"/>
                <w:sz w:val="19"/>
                <w:szCs w:val="19"/>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19"/>
                <w:szCs w:val="19"/>
              </w:rPr>
              <w:t xml:space="preserve">25</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away_days_rest</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Days since away team's last game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1E7" w:sz="4" w:space="4"/>
      </w:pBdr>
      <w:tabs>
        <w:tab w:val="right" w:pos="9026"/>
      </w:tabs>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7" w:sz="4" w:space="4"/>
      </w:pBdr>
      <w:jc w:val="right"/>
    </w:pPr>
    <w:r>
      <w:rPr>
        <w:rFonts w:ascii="Arial" w:cs="Arial" w:eastAsia="Arial" w:hAnsi="Arial"/>
        <w:color w:val="888888"/>
        <w:sz w:val="18"/>
        <w:szCs w:val="18"/>
      </w:rPr>
      <w:t xml:space="preserve">WNBA Margin Model — Working Paper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E6E8E"/>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2026-04-04T18:30:16.655Z</dcterms:created>
  <dcterms:modified xsi:type="dcterms:W3CDTF">2026-04-04T18:30:16.655Z</dcterms:modified>
</cp:coreProperties>
</file>

<file path=docProps/custom.xml><?xml version="1.0" encoding="utf-8"?>
<Properties xmlns="http://schemas.openxmlformats.org/officeDocument/2006/custom-properties" xmlns:vt="http://schemas.openxmlformats.org/officeDocument/2006/docPropsVTypes"/>
</file>