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Toward Room-Temperature Coherent Analog Computing</w:t>
      </w:r>
    </w:p>
    <w:p>
      <w:r>
        <w:t>**WCFOMA as a Transitional Architecture**</w:t>
      </w:r>
    </w:p>
    <w:p>
      <w:r>
        <w:t>A Visionary Brief by Michael Tierce</w:t>
      </w:r>
    </w:p>
    <w:p>
      <w:pPr>
        <w:pStyle w:val="Heading2"/>
      </w:pPr>
      <w:r>
        <w:t>Executive Summary</w:t>
      </w:r>
    </w:p>
    <w:p>
      <w:r>
        <w:t>Wave-Coherent Ferro-Optic Memory Architecture (WCFOMA) represents a paradigm shift in how memory, logic, and computation can be conceived. Operating entirely at room temperature, and grounded in classical physics, WCFOMA nonetheless captures the spirit of quantum computing — superposition, coherence, interference, and distributed logic — through resonant geometry and analog field dynamics.</w:t>
        <w:br/>
        <w:br/>
        <w:t>This architecture proposes a system in which coiled nanostrings immersed in magnetic fluid are compressed and released within micro-cylinders, encoding information not as binary states, but as physical waveforms — patterns of tension, shape, and coherence. Read optically from above, these structures mimic the wave-collapse of quantum logic, offering a bridge between classical hardware and post-digital computation.</w:t>
      </w:r>
    </w:p>
    <w:p>
      <w:pPr>
        <w:pStyle w:val="Heading2"/>
      </w:pPr>
      <w:r>
        <w:t>1. Rethinking Computation</w:t>
      </w:r>
    </w:p>
    <w:p>
      <w:r>
        <w:t>WCFOMA challenges the binary assumptions of conventional computing. Instead of charge, voltage, or spin, information is encoded in dynamic form — tension states, spiral geometries, and memoryful viscosity.</w:t>
        <w:br/>
        <w:br/>
        <w:t>Each cylinder acts as a resonant logic-matter interface: when compressed, the coil enters a superposed state of tension-defined probability. Upon relaxation, it settles into a semi-stable projection — readable as a 2D memory pattern.</w:t>
        <w:br/>
        <w:br/>
        <w:t>This system replaces bits with shapes, logic gates with field geometries, and von Neumann separation with unified coherence.</w:t>
      </w:r>
    </w:p>
    <w:p>
      <w:pPr>
        <w:pStyle w:val="Heading2"/>
      </w:pPr>
      <w:r>
        <w:t>2. Room Temperature Superposition</w:t>
      </w:r>
    </w:p>
    <w:p>
      <w:r>
        <w:t>While not quantum mechanical in the formal sense, WCFOMA enables a form of analog superposition. The memory cell evolves probabilistically within the constraints of magnetic, mechanical, and fluidic fields. These intermediate states can be read, reasoned over, or allowed to settle into deterministic projections. This opens doors to:</w:t>
        <w:br/>
        <w:t>- Multi-bit encoding per cell</w:t>
        <w:br/>
        <w:t>- Gradient logic or fuzzy decision boundaries</w:t>
        <w:br/>
        <w:t>- Probabilistic inference embedded at the hardware level</w:t>
      </w:r>
    </w:p>
    <w:p>
      <w:pPr>
        <w:pStyle w:val="Heading2"/>
      </w:pPr>
      <w:r>
        <w:t>3. Engineering Challenges Ahead</w:t>
      </w:r>
    </w:p>
    <w:p>
      <w:r>
        <w:t>- **Precision Microfabrication**: Creating dense arrays of micro-cylinders and coiled nanostructures.</w:t>
        <w:br/>
        <w:t>- **Material Design**: Developing responsive filament materials with memory and magnetic tunability.</w:t>
        <w:br/>
        <w:t>- **Readout Fidelity**: Building optical systems capable of decoding projected 2D geometries with sub-micron precision.</w:t>
        <w:br/>
        <w:t>- **Field-Shielded Architecture**: Preventing cross-talk while enabling intentional cell-to-cell influence.</w:t>
        <w:br/>
        <w:t>- **Actuation Systems**: Designing low-energy compression mechanisms for write/reset operations.</w:t>
        <w:br/>
        <w:t>- **Hybrid Integration**: Embedding WCFOMA into larger analog/digital computational environments.</w:t>
      </w:r>
    </w:p>
    <w:p>
      <w:pPr>
        <w:pStyle w:val="Heading2"/>
      </w:pPr>
      <w:r>
        <w:t>4. Toward a New Class of Machines</w:t>
      </w:r>
    </w:p>
    <w:p>
      <w:r>
        <w:t>WCFOMA may serve as a transitional architecture — a bridge from conventional logic to quantum-inspired analog machines. It operates in a realm beyond Boolean gates, where memory and computation are no longer separated, and where physical shape itself becomes code.</w:t>
        <w:br/>
        <w:br/>
        <w:t>In an era where energy efficiency, biological compatibility, and symbolic computing are essential, WCFOMA offers a blueprint for machines that do not just compute — they resonate, cohere, and remember.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