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10: Analog Superposition and Field Logic</w:t>
      </w:r>
    </w:p>
    <w:p>
      <w:r>
        <w:t>Beyond its mechanical and optical elegance, the cylinder-hair compression memory architecture offers a deeper computational paradigm: analog superposition. While not quantum in the strict sense, this system exhibits behaviors that closely resemble superposition, entanglement, and parallel logic — all within a classical framework. This chapter explores how the memory state evolves probabilistically during the write cycle and how that enables a novel form of analog computation rooted in field dynamics and resonant geometry.</w:t>
      </w:r>
    </w:p>
    <w:p>
      <w:pPr>
        <w:pStyle w:val="Heading2"/>
      </w:pPr>
      <w:r>
        <w:t>1. Superposition in Coil Configuration</w:t>
      </w:r>
    </w:p>
    <w:p>
      <w:r>
        <w:t>During compression, the nanostring does not collapse into a single deterministic shape. Instead, it enters a tension-defined equilibrium influenced by field gradients, fluid viscosity, coil elasticity, and thermal noise. The result is a system that can momentarily inhabit a blend of multiple geometric configurations — each representing a distinct logical or analog state.</w:t>
      </w:r>
    </w:p>
    <w:p>
      <w:r>
        <w:t>This physical ambiguity constitutes a quasi-superposition: a system existing in overlapping potential states before 'collapsing' into a stable projection upon readout. These intermediary shapes are detectable optically, especially with phase-sensitive or polarization imaging.</w:t>
      </w:r>
    </w:p>
    <w:p>
      <w:pPr>
        <w:pStyle w:val="Heading2"/>
      </w:pPr>
      <w:r>
        <w:t>2. Field Logic and Inter-Cell Coherence</w:t>
      </w:r>
    </w:p>
    <w:p>
      <w:r>
        <w:t>Memory cells arranged in close proximity may exhibit weak field coupling through their magnetic soup and strain propagation. This allows subtle interference between cells, where the state of one influences the geometry of another — a form of spatial logic analogous to cellular automata or field-programmable logic arrays.</w:t>
      </w:r>
    </w:p>
    <w:p>
      <w:r>
        <w:t>With careful engineering, these interactions could be harnessed to implement logic gates, parity checks, or resonance-based computation without explicit circuitry. In essence, geometry becomes logic.</w:t>
      </w:r>
    </w:p>
    <w:p>
      <w:pPr>
        <w:pStyle w:val="Heading2"/>
      </w:pPr>
      <w:r>
        <w:t>3. Parallelism and Probabilistic Readout</w:t>
      </w:r>
    </w:p>
    <w:p>
      <w:r>
        <w:t>Each memory cell is optically accessible and requires no invasive read mechanism, allowing arrays of cylinders to be read in parallel. Furthermore, ambiguous or partially settled states provide gradient-like output values, enabling fuzzy logic or probabilistic inference. This is particularly valuable for AI systems, pattern recognition, or any application requiring analog weighting of input states.</w:t>
      </w:r>
    </w:p>
    <w:p>
      <w:pPr>
        <w:pStyle w:val="Heading2"/>
      </w:pPr>
      <w:r>
        <w:t>4. Toward a New Computation Model</w:t>
      </w:r>
    </w:p>
    <w:p>
      <w:r>
        <w:t>This architecture invites a reconceptualization of computation itself. Instead of binary switching, we operate with shape, resonance, tension, and coherence. Information is stored not just in the presence of a value, but in the evolving form of a field-influenced system. This aligns more closely with biological processes and may serve as a transitional architecture between traditional computing and future quantum-inspired, coherence-driven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