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17: Revisiting the Plasma Shell — Engineering the Trinary Capsule Under Experimental Constraints</w:t>
      </w:r>
    </w:p>
    <w:p>
      <w:r>
        <w:t>*Integrating Chapter 16 Constraints into the Inner-Outer Plasma Shell Model for Reliable Coherence Activation*</w:t>
      </w:r>
    </w:p>
    <w:p>
      <w:pPr>
        <w:pStyle w:val="Heading2"/>
      </w:pPr>
      <w:r>
        <w:t>1. Objective</w:t>
      </w:r>
    </w:p>
    <w:p>
      <w:r>
        <w:t>This chapter re-examines the plasma shell memory structure originally introduced in Chapter 12, now updated to address the experimental challenges and engineering constraints outlined in Chapter 16. The goal is to adapt the trinary architecture—composed of an outer thermal-plasma buffer, a magnetorheological sand-like gate, and a tuned inner shell—into a viable resonance-driven memory element capable of field-synchronized activation with noise resilience, repeatability, and scalable implementation.</w:t>
      </w:r>
    </w:p>
    <w:p>
      <w:pPr>
        <w:pStyle w:val="Heading2"/>
      </w:pPr>
      <w:r>
        <w:t>2. Structural Reconsiderations</w:t>
      </w:r>
    </w:p>
    <w:p>
      <w:r>
        <w:t>To reduce susceptibility to environmental interference and enhance coherence tuning:</w:t>
        <w:br/>
        <w:t>- Outer Plasma Buffer: Replace with a multilayered mu-metal / dielectric / grounded coil shell for shielding + pulse shaping.</w:t>
        <w:br/>
        <w:t>- Sand Layer: Redesign using low-viscosity ferrogel with tunable permeability under piezo-driven compression.</w:t>
        <w:br/>
        <w:t>- Inner Shell: Shift from static magnetoelastic structure to a resonant cavity embedded with piezoelectric transducers and tuned in real-time.</w:t>
        <w:br/>
        <w:br/>
        <w:t>This results in an updated capsule design that is not only more sensitive to coherent pulses, but also less sensitive to ambient noise fluctuations.</w:t>
      </w:r>
    </w:p>
    <w:p>
      <w:pPr>
        <w:pStyle w:val="Heading2"/>
      </w:pPr>
      <w:r>
        <w:t>3. Experimental Considerations from Chapter 16</w:t>
      </w:r>
    </w:p>
    <w:p>
      <w:r>
        <w:t>Key engineering constraints and insights from Chapter 16 applied to this model include:</w:t>
        <w:br/>
        <w:br/>
        <w:t>- **Noise Isolation**:</w:t>
        <w:br/>
        <w:t xml:space="preserve">  • Embed each capsule in localized shielding (e.g., nested Faraday + mu-metal)</w:t>
        <w:br/>
        <w:t xml:space="preserve">  • Ground each layer and introduce active noise cancellation via sensor feedback</w:t>
        <w:br/>
        <w:br/>
        <w:t>- **Energy Efficiency**:</w:t>
        <w:br/>
        <w:t xml:space="preserve">  • Replace continuous field maintenance with burst-based actuation (resonant pluck only when querying)</w:t>
        <w:br/>
        <w:t xml:space="preserve">  • Embed ultralow-power field sensors to remain in passive listen mode</w:t>
        <w:br/>
        <w:br/>
        <w:t>- **Signal Detection**:</w:t>
        <w:br/>
        <w:t xml:space="preserve">  • Integrate lock-in amplification circuits directly in capsule circuitry</w:t>
        <w:br/>
        <w:t xml:space="preserve">  • Apply band-limited pulse shaping for maximal detection via Hilbert envelope and PLV analytics</w:t>
      </w:r>
    </w:p>
    <w:p>
      <w:pPr>
        <w:pStyle w:val="Heading2"/>
      </w:pPr>
      <w:r>
        <w:t>4. Operational Workflow</w:t>
      </w:r>
    </w:p>
    <w:p>
      <w:r>
        <w:t>- Initialization:</w:t>
        <w:br/>
        <w:t xml:space="preserve">  • Calibrate capsule orientation using digital compass and geomagnetic model</w:t>
        <w:br/>
        <w:t xml:space="preserve">  • Store phase reference from global Schumann resonator or controlled base station</w:t>
        <w:br/>
        <w:br/>
        <w:t>- Query Process:</w:t>
        <w:br/>
        <w:t xml:space="preserve">  • Initiate field-consistent pulse at resonance frequency (7.83 Hz or overtone)</w:t>
        <w:br/>
        <w:t xml:space="preserve">  • Apply piezo burst to compress sand layer and probe inner shell</w:t>
        <w:br/>
        <w:t xml:space="preserve">  • If coherent state detected: read out waveform; if not: allow structure to return to passive baseline</w:t>
        <w:br/>
        <w:br/>
        <w:t>- Reset:</w:t>
        <w:br/>
        <w:t xml:space="preserve">  • Wait for global coherence drift threshold (~6–24 hours)</w:t>
        <w:br/>
        <w:t xml:space="preserve">  • Recalibrate inner shell tuning phase as needed based on field monitoring</w:t>
      </w:r>
    </w:p>
    <w:p>
      <w:pPr>
        <w:pStyle w:val="Heading2"/>
      </w:pPr>
      <w:r>
        <w:t>5. Updated Scalability and Material Recommendations</w:t>
      </w:r>
    </w:p>
    <w:p>
      <w:r>
        <w:t>- Materials:</w:t>
        <w:br/>
        <w:t xml:space="preserve">  • Outer: laminated mu-metal + carbon fiber composite (mechanical + magnetic shielding)</w:t>
        <w:br/>
        <w:t xml:space="preserve">  • Middle: iron oxide nanoparticle-laced elastomer, tunable by voltage</w:t>
        <w:br/>
        <w:t xml:space="preserve">  • Inner: piezo-resonant polymer shell with integrated field-tuned capacitor network</w:t>
        <w:br/>
        <w:br/>
        <w:t>- Scaling Strategy:</w:t>
        <w:br/>
        <w:t xml:space="preserve">  • Distribute in a grid formation respecting local field vector geometry</w:t>
        <w:br/>
        <w:t xml:space="preserve">  • Implement RF-decoupled control layer for modulation, not signaling</w:t>
        <w:br/>
        <w:t xml:space="preserve">  • Monitor and log ambient magnetic phase drift for coherence offset modeling</w:t>
      </w:r>
    </w:p>
    <w:p>
      <w:pPr>
        <w:pStyle w:val="Heading2"/>
      </w:pPr>
      <w:r>
        <w:t>6. Conclusion</w:t>
      </w:r>
    </w:p>
    <w:p>
      <w:r>
        <w:t>By integrating the performance limitations and validation requirements from Chapter 16, the plasma-shell trinary model has been revised to function within a measurable, low-energy, and scalable coherence framework. Instead of relying on vague 'plasma dynamics', the capsule is now built from validated shielding, mechatronic gating, and field-synchronized resonance tuning. This architecture meets the experimental bar for academic feasibility and can serve as the core unit of any resonance-based distributed memory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