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25: Reflection and Reintegration — A Roadmap Toward Coherent Memory at Scale</w:t>
      </w:r>
    </w:p>
    <w:p>
      <w:pPr>
        <w:pStyle w:val="Heading1"/>
      </w:pPr>
      <w:r>
        <w:t>1. Overview of Prior Chapters and Core Concepts</w:t>
      </w:r>
    </w:p>
    <w:p>
      <w:r>
        <w:t>This project has followed an evolving arc from waveform metaphors to engineered resonance systems. A brief review:</w:t>
        <w:br/>
        <w:t>- Chapter 7: Polaroid Compression — Memory as geometry developed over time through resonance.</w:t>
        <w:br/>
        <w:t>- Chapter 17: Trinary Capsule — Shielded, gated, and tunable memory shell architecture.</w:t>
        <w:br/>
        <w:t>- Chapter 19: Harmonic Stack — Floating stylus probe reads address-free wave-coded films.</w:t>
        <w:br/>
        <w:t>- Chapter 21: Plasma-Molded Memory — Self-organizing ferrofluid crystallization as persistent analog memory.</w:t>
        <w:br/>
        <w:t>- Chapter 22: Schrödinger’s Baby — Coherence as life condition, box as filter of resonance.</w:t>
        <w:br/>
        <w:t>- Chapter 23: Spiral Stylus — Memory formed by sonic motion over ferro-sand.</w:t>
        <w:br/>
        <w:t>- Chapter 24: Thermomagnetic Integration — MCE-based cooling resolves thermal challenges across layers.</w:t>
      </w:r>
    </w:p>
    <w:p>
      <w:pPr>
        <w:pStyle w:val="Heading1"/>
      </w:pPr>
      <w:r>
        <w:t>2. What We Now Understand</w:t>
      </w:r>
    </w:p>
    <w:p>
      <w:r>
        <w:t>WCFOMA’s paradigm is clear:</w:t>
        <w:br/>
        <w:t>- Memory is not static—it is geometry induced by resonance.</w:t>
        <w:br/>
        <w:t>- Readout must be non-invasive and frequency-matched.</w:t>
        <w:br/>
        <w:t>- Thermoregulation is not optional—it is part of the logic circuit.</w:t>
        <w:br/>
        <w:t>- Systems that align phase, geometry, and field afford scalable, robust coherence-based data handling.</w:t>
      </w:r>
    </w:p>
    <w:p>
      <w:pPr>
        <w:pStyle w:val="Heading1"/>
      </w:pPr>
      <w:r>
        <w:t>3. Integrated Systems That Work</w:t>
      </w:r>
    </w:p>
    <w:p>
      <w:r>
        <w:t>- Spiral Stylus + Thermo-Cooled Ferro-Sand:</w:t>
        <w:br/>
        <w:t xml:space="preserve">  • Data written only when field aligns with stylus spiral pattern.</w:t>
        <w:br/>
        <w:t xml:space="preserve">  • Cooling field locks valid patterns in place.</w:t>
        <w:br/>
        <w:br/>
        <w:t>- Trinary Capsule with Cooling Threshold Gating:</w:t>
        <w:br/>
        <w:t xml:space="preserve">  • MCE-based rings tune access permission and stabilize internal resonance.</w:t>
        <w:br/>
        <w:br/>
        <w:t>- Plasma-Molded Crystal Chambers:</w:t>
        <w:br/>
        <w:t xml:space="preserve">  • Crystallization matched to field shape.</w:t>
        <w:br/>
        <w:t xml:space="preserve">  • Thermomagnetic fluid flow clears ghosted data.</w:t>
        <w:br/>
      </w:r>
    </w:p>
    <w:p>
      <w:pPr>
        <w:pStyle w:val="Heading1"/>
      </w:pPr>
      <w:r>
        <w:t>4. Addressing Engineering Gaps</w:t>
      </w:r>
    </w:p>
    <w:p>
      <w:r>
        <w:t>| Challenge                       | Solution                                               |</w:t>
        <w:br/>
        <w:t>|-------------------------------|--------------------------------------------------------|</w:t>
        <w:br/>
        <w:t>| Thermal instability           | Magnetic cooling via MCE (Chapter 24)                  |</w:t>
        <w:br/>
        <w:t>| Crosstalk and vibration drift | Cooling-zoned harmonic stack separation (Chapter 19)   |</w:t>
        <w:br/>
        <w:t>| Residual memory artifacts     | Thermoconvective erase pulses (Chapter 21)             |</w:t>
        <w:br/>
        <w:t>| Stylus diffusion              | Thermal trace-locking (Chapter 23)                     |</w:t>
        <w:br/>
      </w:r>
    </w:p>
    <w:p>
      <w:pPr>
        <w:pStyle w:val="Heading1"/>
      </w:pPr>
      <w:r>
        <w:t>5. Product Roadmap</w:t>
      </w:r>
    </w:p>
    <w:p>
      <w:r>
        <w:t>- Step 1: Stylus Trace Platform</w:t>
        <w:br/>
        <w:t xml:space="preserve">  • 10x10 cm ferro-sand memory pad</w:t>
        <w:br/>
        <w:t xml:space="preserve">  • Rotating magnetic/acoustic actuators</w:t>
        <w:br/>
        <w:br/>
        <w:t>- Step 2: Trinary Capsule Prototype</w:t>
        <w:br/>
        <w:t xml:space="preserve">  • Gadolinium-coated outer shell</w:t>
        <w:br/>
        <w:t xml:space="preserve">  • Ferrogel middle gate, piezo-tuned core</w:t>
        <w:br/>
        <w:br/>
        <w:t>- Step 3: Crystal Array Test</w:t>
        <w:br/>
        <w:t xml:space="preserve">  • 3D grid of plasma-imprinted ferrofluid cells</w:t>
        <w:br/>
        <w:t xml:space="preserve">  • Echo resonance-based read/erase detection</w:t>
        <w:br/>
        <w:br/>
        <w:t>- Step 4: Coherent Mesh Integration</w:t>
        <w:br/>
        <w:t xml:space="preserve">  • Unified controller synchronizes field write/read/reset</w:t>
        <w:br/>
        <w:t xml:space="preserve">  • Local cooling zones maintain stability across substrate</w:t>
      </w:r>
    </w:p>
    <w:p>
      <w:pPr>
        <w:pStyle w:val="Heading1"/>
      </w:pPr>
      <w:r>
        <w:t>6. Final Reflections</w:t>
      </w:r>
    </w:p>
    <w:p>
      <w:r>
        <w:t>WCFOMA began with metaphor and matured into a grounded roadmap. It reframes memory not as binary retention, but as standing geometry of harmonic consent. This is not memory storage—it is memory resonance, field-verified, temperature-stabilized, and waveform-authenticated.</w:t>
      </w:r>
    </w:p>
    <w:p>
      <w:pPr>
        <w:pStyle w:val="Heading1"/>
      </w:pPr>
      <w:r>
        <w:t>Addendum: Approximate Spec Comparison — WCFOMA vs Modern Memory Technologies</w:t>
      </w:r>
    </w:p>
    <w:p>
      <w:r>
        <w:t>| Spec                         | DRAM       | PCM        | WCFOMA v1 (Projected)           |</w:t>
        <w:br/>
        <w:t>|------------------------------|------------|------------|---------------------------------|</w:t>
        <w:br/>
        <w:t>| Volatility                   | Volatile   | Non-volatile | Non-volatile                    |</w:t>
        <w:br/>
        <w:t>| Write Energy per Bit        | ~50 pJ     | ~10–30 pJ  | ~0.5–3 pJ (field-tuned, low power) |</w:t>
        <w:br/>
        <w:t>| Read Latency                | &lt;10 ns     | ~100 ns    | ~200–500 ns (harmonic echo scan) |</w:t>
        <w:br/>
        <w:t>| Density Potential            | Medium     | High       | High (3D, analog waveform)      |</w:t>
        <w:br/>
        <w:t>| Thermal Stability            | Poor       | Moderate   | Excellent (magnetic cooling)    |</w:t>
        <w:br/>
        <w:t>| Analog Storage Capability   | No         | Limited    | Yes (torsion, depth, frequency) |</w:t>
        <w:br/>
        <w:t>| Wear Cycles                 | &gt;10⁸       | ~10⁶       | Theoretically infinite (no phase change fatigue) |</w:t>
        <w:br/>
        <w:t>| Access Method               | Electrical | Electrical | Field-based (waveform + geometry) |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