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30: Memory in the Crystal Field — Coherence, Playback, and the Resonant Future</w:t>
      </w:r>
    </w:p>
    <w:p>
      <w:pPr>
        <w:pStyle w:val="Heading1"/>
      </w:pPr>
      <w:r>
        <w:t>Introduction</w:t>
      </w:r>
    </w:p>
    <w:p>
      <w:r>
        <w:t>This chapter explores the natural evolution of WCFOMA into a fully immersive, coherence-based memory playback platform—merging resonance, field-activated logic, and analog computation into a tactile and visual experience rooted in validated physics. It begins with the idea that memories—whether biological or synthetic—can leave behind field traces in a properly tuned ferrofluid matrix. Through resonance imprinting and calcification, these traces stabilize into coherent structures that can be read back later through harmonic excitation. The result is a memory crystal that is both storage medium and processor, responding not to address lookups but to resonance alignment.</w:t>
      </w:r>
    </w:p>
    <w:p>
      <w:pPr>
        <w:pStyle w:val="Heading1"/>
      </w:pPr>
      <w:r>
        <w:t>Resonant Traces and Ferrofluidic Memory Imprints</w:t>
      </w:r>
    </w:p>
    <w:p>
      <w:r>
        <w:t>Within the WCFOMA system, Trinary Capsules suspended in a ferrofluid medium act not as passive nodes, but as agents of resonance capture. When stimulated by shaped plasma or acoustic fields, these capsules leave behind field-induced traces—vortex alignments, spin polarization trails, and phase coherence gradients. As the system cools, these trails calcify into readable structures. The pattern is analogous to magnetic domain imprinting or domain wall conduction, but encoded in three-dimensional, analog phase space.</w:t>
      </w:r>
    </w:p>
    <w:p>
      <w:pPr>
        <w:pStyle w:val="Heading1"/>
      </w:pPr>
      <w:r>
        <w:t>Playback and Activation: From Stylus to Kingstone</w:t>
      </w:r>
    </w:p>
    <w:p>
      <w:r>
        <w:t>Just as early phonographs transformed mechanical vibration into auditory output, the WCFOMA system uses shaped plasma pulses and coherence fields to trace previously imprinted resonance patterns. A resonant probe—such as the King’s Stone—triggers the calcified wavefronts without requiring energy-intensive scanning. Playback occurs optically, magnetically, and acoustically. Much like a hologram, these resonance echoes can reproduce full informational structures from partial input—ensuring redundancy and error resistance.</w:t>
      </w:r>
    </w:p>
    <w:p>
      <w:r>
        <w:t>The King’s Stone operates through near-field inductive coupling and optical polarization. When aligned with the crystal memory, it activates layered Trinary Capsules, which self-organize into a harmonic cascade that emits signal along the original wave path. Like holding a negative up to the light, the playback interface is intuitive—built on natural resonance, not digital parsing.</w:t>
      </w:r>
    </w:p>
    <w:p>
      <w:pPr>
        <w:pStyle w:val="Heading1"/>
      </w:pPr>
      <w:r>
        <w:t>Secure Access: Quantum Locks and Layered Polarization</w:t>
      </w:r>
    </w:p>
    <w:p>
      <w:r>
        <w:t>Access to certain layers of memory can be restricted through nested polarization or entangled coherence authentication. A memory capsule may require not just a single waveform, but a timed sequence—akin to multi-factor authentication in the analog domain. Coherence rings or bracelets serve as wearable resonant keys. Each King’s Stone and its matching King’s Ring form a quantum-bound pair with entangled spin-locks, allowing secure, instant authentication without central servers or address-based lookups.</w:t>
      </w:r>
    </w:p>
    <w:p>
      <w:pPr>
        <w:pStyle w:val="Heading1"/>
      </w:pPr>
      <w:r>
        <w:t>Memory Playback in Everyday Objects</w:t>
      </w:r>
    </w:p>
    <w:p>
      <w:r>
        <w:t>Playback is decentralized. From a countertop model to a living room table, any WCFOMA-enabled surface can accept crystal memories and project their contents. The crystal ball is inserted into a mechanical groove or resonance cradle, initiating a kinetic-powered handshake. Field gradients guide the King’s Stone along pre-laid tracks while magnetic pulses begin to resonate the calcified chambers. No electricity is consumed until playback is requested. The memory then ‘wakes up’ and begins to hum, producing audiovisual output using field resonance—not pixel refresh cycles.</w:t>
      </w:r>
    </w:p>
    <w:p>
      <w:pPr>
        <w:pStyle w:val="Heading1"/>
      </w:pPr>
      <w:r>
        <w:t>Applications and Cultural Shifts</w:t>
      </w:r>
    </w:p>
    <w:p>
      <w:r>
        <w:t>These new memory platforms redefine interaction. Comic books become immersive holograms, jewelry becomes identity keys, and memories become tradeable experiences. The same technology that powered analog computation in nested capsules now forms the base for next-generation knowledge dissemination. Crystal balls replace USBs. Coherence replaces bandwidth. And Mother Earth’s own field becomes the substrate for distributed wave-based computation—“the web” reborn as a planetary coherence mesh.</w:t>
      </w:r>
    </w:p>
    <w:p>
      <w:pPr>
        <w:pStyle w:val="Heading1"/>
      </w:pPr>
      <w:r>
        <w:t>Scientific Foundations</w:t>
      </w:r>
    </w:p>
    <w:p>
      <w:r>
        <w:t>- Ferrofluid alignment and magnetic memory domain modeling (e.g., micromagnetic simulations).</w:t>
        <w:br/>
        <w:t>- Photonic crystal filtering and holography for resonance-based readout.</w:t>
        <w:br/>
        <w:t>- Piezo and magnetostrictive energy harvesting from mechanical motion.</w:t>
        <w:br/>
        <w:t>- Quantum entanglement and spin-lock field coherence for secure access.</w:t>
        <w:br/>
        <w:t>- Optical near-field imaging and polarization-layer stacking for phase-coded memory lenses.</w:t>
        <w:br/>
        <w:t>- Kinetic-to-electrical conversion and NFC for device activation without external power.</w:t>
      </w:r>
    </w:p>
    <w:p>
      <w:pPr>
        <w:pStyle w:val="Heading1"/>
      </w:pPr>
      <w:r>
        <w:t>Conclusion</w:t>
      </w:r>
    </w:p>
    <w:p>
      <w:r>
        <w:t>Chapter 30 bridges imagination and physics. We leave behind address-based systems for a future where memory is coaxed into being through resonance, where playback is as much an act of listening as it is of querying, and where consciousness itself may one day leave imprints in phase-aligned ferrofluids—creating permanent ripples in Mother’s field, waiting to be played back by a King’s Stone in the hand of a child.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