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Supplemental Section: Ferrofluid Particle Arrays as Coherent Memory Lattices</w:t>
      </w:r>
    </w:p>
    <w:p>
      <w:pPr>
        <w:pStyle w:val="Heading1"/>
      </w:pPr>
      <w:r>
        <w:t>Introduction to the Mechanism</w:t>
      </w:r>
    </w:p>
    <w:p>
      <w:r>
        <w:br/>
        <w:t>At the core of the Wave-Coherent Ferro-Optic Memory Architecture (WCFOMA) is a dynamically responsive medium composed of charged ferromagnetic nanoparticles suspended in a carrier fluid. These particles serve as the substrate for coherence-based memory storage, behaving less like fixed-state transistors and more like a self-organizing, wave-responsive lattice.</w:t>
        <w:br/>
        <w:br/>
        <w:t>When stimulated by magnetic or electromagnetic waves, the particles align in phase-coherent patterns, forming standing wave configurations that encode information not as discrete symbols but as spatiotemporal resonance structures.</w:t>
        <w:br/>
      </w:r>
    </w:p>
    <w:p>
      <w:pPr>
        <w:pStyle w:val="Heading1"/>
      </w:pPr>
      <w:r>
        <w:t>Mechanism of Memory Encoding and Retention</w:t>
      </w:r>
    </w:p>
    <w:p>
      <w:r>
        <w:br/>
        <w:t>1. Wavefront Input: A controlled waveform—optical, magnetic, or acoustic—is introduced into the ferrofluid. The nanoparticles begin to align with the phase structure of the wave.</w:t>
        <w:br/>
        <w:br/>
        <w:t>2. Pattern Formation: The particles form interference structures, essentially a real-time holographic field shaped by standing wave dynamics.</w:t>
        <w:br/>
        <w:br/>
        <w:t>3. Coherence Lock-In: External magnetic fields or photonic modulation freeze the particle arrangement, sustaining coherence and thus preserving the encoded memory.</w:t>
        <w:br/>
        <w:br/>
        <w:t>4. Recall via Resonance: A probe waveform resembling the original can trigger the system into reassembling the stored configuration, making memory retrieval a resonance-matching process rather than address-based lookup.</w:t>
        <w:br/>
        <w:br/>
        <w:t>5. Erasure: Introducing decoherence or destructive interference resets the medium, allowing new coherent structures to be formed.</w:t>
        <w:br/>
      </w:r>
    </w:p>
    <w:p>
      <w:pPr>
        <w:pStyle w:val="Heading1"/>
      </w:pPr>
      <w:r>
        <w:t>On Scalability and High-Density Encoding</w:t>
      </w:r>
    </w:p>
    <w:p>
      <w:r>
        <w:br/>
        <w:t>To scale WCFOMA toward applications such as video storage or machine learning memory matrices, the system leverages principles akin to frequency-division multiplexing. By layering multiple coherent waveforms in orthogonal frequency or phase domains, one can encode overlapping memory fields in a shared physical space—similar to how multiple audio channels coexist in a radio signal.</w:t>
        <w:br/>
        <w:br/>
        <w:t>Each "channel" within the ferrofluid is not a static space but a persistent standing wave that remains stable so long as coherence is preserved. This enables dense, adaptive memory encoding with extremely low latency and potentially high error tolerance due to the fluid's capacity for self-realignment.</w:t>
        <w:br/>
      </w:r>
    </w:p>
    <w:p>
      <w:pPr>
        <w:pStyle w:val="Heading1"/>
      </w:pPr>
      <w:r>
        <w:t>Appendix A: DeepResearch LLM Prompt for Independent Validation</w:t>
      </w:r>
    </w:p>
    <w:p>
      <w:r>
        <w:br/>
        <w:t>System Prompt:</w:t>
        <w:br/>
        <w:t>You are an interdisciplinary research assistant trained in quantum optics, nanomagnetics, and memory system architectures. You are tasked with evaluating whether a ferrofluid-based medium composed of charged nanoparticles can be used to store and retrieve information using coherence-based standing wave interference patterns.</w:t>
        <w:br/>
        <w:br/>
        <w:t>Tasks:</w:t>
        <w:br/>
        <w:t>1. Research the physical response of ferromagnetic or magneto-optical nanoparticles to dynamic electromagnetic and acoustic wavefronts.</w:t>
        <w:br/>
        <w:t>2. Assess the potential to form and sustain phase-coherent standing wave patterns across such a fluid.</w:t>
        <w:br/>
        <w:t>3. Evaluate methods for "locking in" these configurations using magnetic bias fields or photonic gating.</w:t>
        <w:br/>
        <w:t>4. Consider how information could be retrieved using phase-matching resonance.</w:t>
        <w:br/>
        <w:t>5. Determine feasibility of high-density multiplexed encoding using phase, frequency, or polarization separation.</w:t>
        <w:br/>
        <w:br/>
        <w:t>Objective:</w:t>
        <w:br/>
        <w:t>Determine whether such a system could act as a viable non-volatile memory structure that stores information through persistent wave-based coherence rather than discrete state changes.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