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10: Embedded Sensor Resonance Memory (ESRM)</w:t>
      </w:r>
    </w:p>
    <w:p>
      <w:r>
        <w:t>*A Self-Sensing, Field-Coherent Evolution of the Cylinder-Hair Architecture*</w:t>
      </w:r>
    </w:p>
    <w:p>
      <w:pPr>
        <w:pStyle w:val="Heading2"/>
      </w:pPr>
      <w:r>
        <w:t>1. Conceptual Overview</w:t>
      </w:r>
    </w:p>
    <w:p>
      <w:r>
        <w:t>This chapter introduces a new evolution of the WCFOMA system: Embedded Sensor Resonance Memory (ESRM). Unlike the earlier cylinder-hair model which relies on optical readout of shape projections, ESRM integrates sensor-laden inner shells into each memory cell. These sensors detect internal magnetic, dielectric, or acoustic field changes across multiple vertical layers, allowing volumetric state detection without relying on external optics.</w:t>
        <w:br/>
        <w:br/>
        <w:t>By embedding sensing capability into the walls of each micro-cylinder, we transition from projection-based memory to a coherence-aware 3D lattice, where memory is encoded not only in the geometry of the magnetic fluid and nanostring interaction—but also in the evolving field topography within and around the cylinder.</w:t>
        <w:br/>
        <w:br/>
        <w:t>This removes alignment constraints, expands orientation possibilities (e.g., horizontal, spherical, disordered), and permits coherence propagation through the absence of particles as well as their density—akin to phononic logic or metamaterial channels.</w:t>
      </w:r>
    </w:p>
    <w:p>
      <w:pPr>
        <w:pStyle w:val="Heading2"/>
      </w:pPr>
      <w:r>
        <w:t>2. Functional Mechanism</w:t>
      </w:r>
    </w:p>
    <w:p>
      <w:r>
        <w:t>Each ESRM memory unit is composed of:</w:t>
        <w:br/>
        <w:t>- Magnetic Buoyancy Fluid: A ferrofluid medium tuned for viscosity and magnetic response.</w:t>
        <w:br/>
        <w:t>- Coiled Nanostring: Suspended within the fluid, shaped via controlled compression.</w:t>
        <w:br/>
        <w:t>- Inner Sensor Shell: A 12-layered array of embedded field sensors (e.g., Hall-effect rings, magnetoresistive strips, or capacitive coils).</w:t>
        <w:br/>
        <w:t>- Actuation Cap: Triggers compression or relaxation events.</w:t>
        <w:br/>
        <w:t>- Readout Bus: Receives 12-channel analog or digital signals per cell.</w:t>
        <w:br/>
        <w:br/>
        <w:t>Memory is encoded through:</w:t>
        <w:br/>
        <w:t>- The settled configuration of the nanostring.</w:t>
        <w:br/>
        <w:t>- The density distribution of magnetic particles across the 12 vertical strata.</w:t>
        <w:br/>
        <w:t>- The pattern of empty space, which may act as a field corridor for coherent wave passage.</w:t>
        <w:br/>
        <w:br/>
        <w:t>Readout is accomplished by measuring field intensities at each vertical layer, resulting in a 12-dimensional coherence vector, which encodes multi-bit memory per cell.</w:t>
      </w:r>
    </w:p>
    <w:p>
      <w:pPr>
        <w:pStyle w:val="Heading2"/>
      </w:pPr>
      <w:r>
        <w:t>3. Engineering Viability &amp; Trade-Offs</w:t>
      </w:r>
    </w:p>
    <w:p>
      <w:r>
        <w:t>A comparison of feasibility factors:</w:t>
        <w:br/>
        <w:br/>
        <w:t>- Embedded sensor fabrication: ✅ Feasible — Layered MEMS/CMOS rings around microcylinder shells are supported by existing microfluidics tech.</w:t>
        <w:br/>
        <w:t>- Elimination of external optics: ✅ Strong Advantage — No need for top-down alignment or polarization detection systems.</w:t>
        <w:br/>
        <w:t>- Memory cell orientation flexibility: ✅ Unlocked — Cylinders can be arranged radially, diagonally, or pseudo-randomly.</w:t>
        <w:br/>
        <w:t>- Resolution of vertical state: ⚠ Moderate challenge — Sensor sensitivity must resolve small changes in field strength (~μT or nT range).</w:t>
        <w:br/>
        <w:t>- Field wave propagation through absence: ✅ Novel Advantage — Voids in magnetic density may serve as logic gates or waveguides.</w:t>
        <w:br/>
        <w:t>- Sensor signal multiplexing: ⚠ Complexity cost — 12 sensors per cell increases readout routing density.</w:t>
      </w:r>
    </w:p>
    <w:p>
      <w:pPr>
        <w:pStyle w:val="Heading2"/>
      </w:pPr>
      <w:r>
        <w:t>4. Trade-offs vs. Optical Projection Model</w:t>
      </w:r>
    </w:p>
    <w:p>
      <w:r>
        <w:t>Comparing ESRM with the prior cylinder-hair model:</w:t>
        <w:br/>
        <w:br/>
        <w:t>- Orientation Constraints: ESRM - None; Optical - Must be vertical.</w:t>
        <w:br/>
        <w:t>- Fabrication Complexity: ESRM - Higher due to sensor integration; Optical - Moderate.</w:t>
        <w:br/>
        <w:t>- Readout Resolution: ESRM - Tunable; Optical - Projection dependent.</w:t>
        <w:br/>
        <w:t>- Power Consumption: ESRM - Slightly higher; Optical - Near-zero.</w:t>
        <w:br/>
        <w:t>- Wave Interaction Potential: ESRM - High; Optical - Low.</w:t>
        <w:br/>
        <w:t>- Fault Tolerance: ESRM - High; Optical - Moderate.</w:t>
      </w:r>
    </w:p>
    <w:p>
      <w:pPr>
        <w:pStyle w:val="Heading2"/>
      </w:pPr>
      <w:r>
        <w:t>5. R&amp;D Roadmap: From ESRM Concept to Prototype</w:t>
      </w:r>
    </w:p>
    <w:p>
      <w:r>
        <w:t>Stage I (1–2 years):</w:t>
        <w:br/>
        <w:t>- Fabricate single ESRM cell with embedded Hall sensors across 12 vertical planes.</w:t>
        <w:br/>
        <w:t>- Demonstrate detection of ferrofluid particle concentration profile post-compression.</w:t>
        <w:br/>
        <w:br/>
        <w:t>Stage II (2–3 years):</w:t>
        <w:br/>
        <w:t>- Build 2D array of 10–100 ESRM cells with independent addressing.</w:t>
        <w:br/>
        <w:t>- Validate repeatable memory states and implement multiplexed sensing.</w:t>
        <w:br/>
        <w:br/>
        <w:t>Stage III (4–5 years):</w:t>
        <w:br/>
        <w:t>- Integrate with signal processing FPGA/neural accelerator.</w:t>
        <w:br/>
        <w:t>- Explore parallel write/read synchronization.</w:t>
      </w:r>
    </w:p>
    <w:p>
      <w:pPr>
        <w:pStyle w:val="Heading2"/>
      </w:pPr>
      <w:r>
        <w:t>6. Strategic Benefits and Applications</w:t>
      </w:r>
    </w:p>
    <w:p>
      <w:r>
        <w:t>- Edge AI Acceleration: Gradient logic and analog inference.</w:t>
        <w:br/>
        <w:t>- Embodied AI Systems: Coherence-based neural-net architectures.</w:t>
        <w:br/>
        <w:t>- Biologically Inspired Devices: Encoding through presence and spatial voids.</w:t>
      </w:r>
    </w:p>
    <w:p>
      <w:pPr>
        <w:pStyle w:val="Heading2"/>
      </w:pPr>
      <w:r>
        <w:t>7. Closing Summary: Toward Field-Conscious Memory</w:t>
      </w:r>
    </w:p>
    <w:p>
      <w:r>
        <w:t>Embedded Sensor Resonance Memory completes the transition WCFOMA hinted at: from devices that simply store a bit, to architectures that remember how fields settled in space and time.</w:t>
        <w:br/>
        <w:br/>
        <w:t>Where the original cylinder-hair architecture offered geometric encoding through external optics, ESRM allows each cell to become its own sensing instrument — a tiny, coherent self-observer.</w:t>
        <w:br/>
        <w:br/>
        <w:t>Rather than forcing the world into logic, ESRM listens for logic in how the world coheres.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