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18: Deep Research Prompt — Viability Modeling for Commercial and Computational Advancement of the WCFOMA Capsule</w:t>
      </w:r>
    </w:p>
    <w:p>
      <w:r>
        <w:t>*Building the Bridge Between Coherence-Driven Memory and Quantum-Class Computation*</w:t>
      </w:r>
    </w:p>
    <w:p>
      <w:pPr>
        <w:pStyle w:val="Heading2"/>
      </w:pPr>
      <w:r>
        <w:t>1. Objective</w:t>
      </w:r>
    </w:p>
    <w:p>
      <w:r>
        <w:t>This chapter presents a deep research prompt and modeling framework focused on transitioning the WCFOMA trinary capsule—engineered in Chapter 17—into a commercially viable technology platform. The twofold goal is to: (1) assess whether the architecture can compete with or outperform classical memory and logic systems in energy, density, and coherence; and (2) determine if the system can offer a practical route to realizing some of the latent computational potential of quantum computing—such as massively parallel logic, context-sensitive recall, and phase-based encoding—without requiring cryogenics or entanglement infrastructure.</w:t>
      </w:r>
    </w:p>
    <w:p>
      <w:pPr>
        <w:pStyle w:val="Heading2"/>
      </w:pPr>
      <w:r>
        <w:t>2. Commercial Readiness and Validation Strategy</w:t>
      </w:r>
    </w:p>
    <w:p>
      <w:r>
        <w:t>- **Prototype Feasibility**:</w:t>
        <w:br/>
        <w:t xml:space="preserve">  • Fabricate a lab-scale capsule using layered materials (mu-metal shield, ferrogel gate, piezoelectric resonator).</w:t>
        <w:br/>
        <w:t xml:space="preserve">  • Validate mechanical durability, electrical sensitivity, thermal stability.</w:t>
        <w:br/>
        <w:br/>
        <w:t>- **Noise Isolation Trials**:</w:t>
        <w:br/>
        <w:t xml:space="preserve">  • Test shielding across urban vs. shielded vs. rural sites.</w:t>
        <w:br/>
        <w:t xml:space="preserve">  • Characterize attenuation levels across ELF and VLF bands.</w:t>
        <w:br/>
        <w:br/>
        <w:t>- **Energy Efficiency Benchmarking**:</w:t>
        <w:br/>
        <w:t xml:space="preserve">  • Measure power draw of query cycle (tap, sense, relax).</w:t>
        <w:br/>
        <w:t xml:space="preserve">  • Compare to DRAM and spintronics energy-per-bit (J/bit).</w:t>
        <w:br/>
        <w:t xml:space="preserve">  • Project energy savings at 1000x and 1,000,000x scale arrays.</w:t>
        <w:br/>
        <w:br/>
        <w:t>- **Recalibration Interval Optimization**:</w:t>
        <w:br/>
        <w:t xml:space="preserve">  • Measure phase drift of capsule over time.</w:t>
        <w:br/>
        <w:t xml:space="preserve">  • Evaluate real-time vs. scheduled tuning correction strategies.</w:t>
      </w:r>
    </w:p>
    <w:p>
      <w:pPr>
        <w:pStyle w:val="Heading2"/>
      </w:pPr>
      <w:r>
        <w:t>3. Quantum-Class Computational Functionality</w:t>
      </w:r>
    </w:p>
    <w:p>
      <w:r>
        <w:t>- **Analog Logic Modes**:</w:t>
        <w:br/>
        <w:t xml:space="preserve">  • Develop software framework to simulate analog inputs and coherent waveform pattern matching.</w:t>
        <w:br/>
        <w:t xml:space="preserve">  • Test field-similarity-driven recall without direct lookup.</w:t>
        <w:br/>
        <w:br/>
        <w:t>- **Coherence-Based Recall**:</w:t>
        <w:br/>
        <w:t xml:space="preserve">  • Determine thresholds where phase resonance initiates recognition.</w:t>
        <w:br/>
        <w:t xml:space="preserve">  • Validate multi-bit analog states using phase domain instead of voltage or current levels.</w:t>
        <w:br/>
        <w:br/>
        <w:t>- **Probabilistic Resonance Engine**:</w:t>
        <w:br/>
        <w:t xml:space="preserve">  • Build probabilistic models of partial recall via waveform entrainment.</w:t>
        <w:br/>
        <w:t xml:space="preserve">  • Compare entropy-per-operation versus stochastic CMOS or QPU backends.</w:t>
        <w:br/>
        <w:br/>
        <w:t>- **Temporal Logic Synchronization**:</w:t>
        <w:br/>
        <w:t xml:space="preserve">  • Investigate phase coherence encoding as clockless logic or temporal gate activation.</w:t>
      </w:r>
    </w:p>
    <w:p>
      <w:pPr>
        <w:pStyle w:val="Heading2"/>
      </w:pPr>
      <w:r>
        <w:t>4. Simulation and Modeling Tools Required</w:t>
      </w:r>
    </w:p>
    <w:p>
      <w:r>
        <w:t>- Finite Element Modeling (FEM) for EM shielding behavior and field propagation within capsule arrays.</w:t>
        <w:br/>
        <w:t>- COMSOL/Ansys for mechanical and piezoelectric actuation stress modeling.</w:t>
        <w:br/>
        <w:t>- MATLAB or Python-based waveform analysis tools (Hilbert transform, wavelet decomposition).</w:t>
        <w:br/>
        <w:t>- Analog signal flow and resonance logic simulation (LTSpice or custom HDL).</w:t>
        <w:br/>
        <w:t>- GPU-parallel modeling of distributed resonance recall performance using phase-matching algorithms.</w:t>
      </w:r>
    </w:p>
    <w:p>
      <w:pPr>
        <w:pStyle w:val="Heading2"/>
      </w:pPr>
      <w:r>
        <w:t>5. Academic and Industrial Anchors for Validation</w:t>
      </w:r>
    </w:p>
    <w:p>
      <w:r>
        <w:t>- Materials Science: High-performance shielding (mu-metal), ferrofluids, piezoelectric polymer composites.</w:t>
        <w:br/>
        <w:t>- Electromagnetic Compatibility: Military-grade shielding tests, low-noise design principles (IEEE EMC).</w:t>
        <w:br/>
        <w:t>- Resonance and Coherence: Work by Pikovsky, Kurths, and Rosenblum on synchronization; Josephson junction dynamics.</w:t>
        <w:br/>
        <w:t>- Low-Energy Computing: Benchmarks from NDRAM, ReRAM, spintronics, and neuromorphic computing.</w:t>
        <w:br/>
        <w:t>- Phase Logic Research: Subthreshold analog computing, oscillator-based logic circuits, and phase-domain AI.</w:t>
      </w:r>
    </w:p>
    <w:p>
      <w:pPr>
        <w:pStyle w:val="Heading2"/>
      </w:pPr>
      <w:r>
        <w:t>6. Investment Viability Metrics</w:t>
      </w:r>
    </w:p>
    <w:p>
      <w:r>
        <w:t>- TRL 3–4 target (lab demonstration with repeatable behavior).</w:t>
        <w:br/>
        <w:t>- Performance vs. energy use at node and array level.</w:t>
        <w:br/>
        <w:t>- Scalability models (cost vs. complexity at 1K, 10K, 100K nodes).</w:t>
        <w:br/>
        <w:t>- Unique computational modes (non-binary, waveform logic, field recall).</w:t>
        <w:br/>
        <w:t>- IP landscape (core patents in magnetic shielding, resonance computing, memory actuation).</w:t>
        <w:br/>
        <w:t>- Partner roadmap: aerospace (noise-hardened memory), data centers (low-energy recall), edge AI (context-aware logic).</w:t>
      </w:r>
    </w:p>
    <w:p>
      <w:pPr>
        <w:pStyle w:val="Heading2"/>
      </w:pPr>
      <w:r>
        <w:t>7. Conclusion</w:t>
      </w:r>
    </w:p>
    <w:p>
      <w:r>
        <w:t>The WCFOMA trinary capsule now offers a plausible architecture that bridges conventional storage and quantum-inspired computation via resonance. This deep research prompt provides a roadmap to de-risk the engineering stack, validate coherence-based functionality, and test memory and logic functions that quantum hardware has struggled to realize practically. As cryogenic qubits continue to face scale and cost barriers, the capsule model offers a new competitor in the race toward practical, context-sensitive, energy-aware memory logic.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