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21: Plasma-Molded Memory — Crystallization, Resonance, and Reversible Assembly in Ferro-Magnetic Suspensions</w:t>
      </w:r>
    </w:p>
    <w:p>
      <w:r>
        <w:t>*Toward a Self-Organizing, Non-Volatile Coherence Medium*</w:t>
      </w:r>
    </w:p>
    <w:p>
      <w:pPr>
        <w:pStyle w:val="Heading2"/>
      </w:pPr>
      <w:r>
        <w:t>1. Conceptual Framework</w:t>
      </w:r>
    </w:p>
    <w:p>
      <w:r>
        <w:t>This chapter proposes a model for data encoding and retrieval within the WCFOMA architecture based on dynamic, plasma-initiated self-assembly of suspended ferromagnetic particles—what we term a 'crystallization memory' system. Drawing inspiration from mold growth patterns and Polaroid film development, this memory scheme encodes information not by static addressable cells, but by field-induced geometric formation that ‘hardens’ over time into coherent, non-volatile crystalline structures. These structures can later be read optically, magnetically, or through harmonic resonance, and dissolved by introducing dissonant energy into the boundary layers.</w:t>
      </w:r>
    </w:p>
    <w:p>
      <w:pPr>
        <w:pStyle w:val="Heading2"/>
      </w:pPr>
      <w:r>
        <w:t>2. Memory Medium and Initialization</w:t>
      </w:r>
    </w:p>
    <w:p>
      <w:r>
        <w:t>- **Medium**: A spherical or volumetric containment vessel (fishbowl) filled with a viscous ferrofluid suspension ('rabbit soup') containing magnetically responsive particles with slight impurities that encourage heterogeneous nucleation.</w:t>
        <w:br/>
        <w:t>- **Initialization**: A structured waveform (plasma bolt) is applied to the boundary of the vessel, delivering directed EM energy.</w:t>
        <w:br/>
        <w:t>- **Self-Assembly**: Responsive particles align and aggregate in zones of field coherence, forming crystalline-like geometries that encode spatial data.</w:t>
        <w:br/>
        <w:t>- **Stabilization**: Once formed, these geometries persist due to particle-to-particle interaction and environmental entrapment.</w:t>
      </w:r>
    </w:p>
    <w:p>
      <w:pPr>
        <w:pStyle w:val="Heading2"/>
      </w:pPr>
      <w:r>
        <w:t>3. Data Encoding by Crystallization</w:t>
      </w:r>
    </w:p>
    <w:p>
      <w:r>
        <w:t>Information is not stored in discrete binary states, but in emergent crystalline formations:</w:t>
        <w:br/>
        <w:t>- Geometry encodes the waveform properties of the input signal.</w:t>
        <w:br/>
        <w:t>- Density gradients reflect the temporal phase of the pulse.</w:t>
        <w:br/>
        <w:t>- Layering corresponds to the resonance harmonics of the initiation event.</w:t>
        <w:br/>
        <w:br/>
        <w:t>This memory becomes 'readable' by the same kind of waveform that created it, allowing a form of authentication or self-consistency in access.</w:t>
      </w:r>
    </w:p>
    <w:p>
      <w:pPr>
        <w:pStyle w:val="Heading2"/>
      </w:pPr>
      <w:r>
        <w:t>4. Read/Erase Mechanism</w:t>
      </w:r>
    </w:p>
    <w:p>
      <w:r>
        <w:t>- **Read**: The system introduces a weak harmonic waveform matching the original imprint signal. If the crystal geometry remains intact, it produces a coherent return signal via:</w:t>
        <w:br/>
        <w:t xml:space="preserve">  • Magnetic flux modulation</w:t>
        <w:br/>
        <w:t xml:space="preserve">  • Optical birefringence</w:t>
        <w:br/>
        <w:t xml:space="preserve">  • Acoustic resonance</w:t>
        <w:br/>
        <w:br/>
        <w:t>- **Erase**: A disharmonic or phase-randomized energy burst is applied to the outer shell, disturbing field alignment. The once-crystalline structure collapses back into suspension.</w:t>
        <w:br/>
        <w:t>This reversible mechanism enables reusability while preserving analog-like fidelity and structural robustness during data retention.</w:t>
      </w:r>
    </w:p>
    <w:p>
      <w:pPr>
        <w:pStyle w:val="Heading2"/>
      </w:pPr>
      <w:r>
        <w:t>5. Biological and Physical Parallels</w:t>
      </w:r>
    </w:p>
    <w:p>
      <w:r>
        <w:t>- Mold and fungal growth encode environmental history through geometry and density—an analogy for emergent memory formation.</w:t>
        <w:br/>
        <w:t>- Crystallization from impurity-driven nucleation mirrors phase transitions in magnetic domains.</w:t>
        <w:br/>
        <w:t>- Polaroid development depends on localized chemical activation that becomes optically accessible through time—not unlike resonance hardening in this system.</w:t>
        <w:br/>
        <w:t>- Phase-change materials (e.g., GST) use similar energy-induced crystallization for optical and electronic memory applications.</w:t>
      </w:r>
    </w:p>
    <w:p>
      <w:pPr>
        <w:pStyle w:val="Heading2"/>
      </w:pPr>
      <w:r>
        <w:t>6. Feasibility and Technical Challenges</w:t>
      </w:r>
    </w:p>
    <w:p>
      <w:r>
        <w:t>- **Feasible Components**:</w:t>
        <w:br/>
        <w:t xml:space="preserve">  • Ferrofluidic suspensions with tunable viscosity and particle charge.</w:t>
        <w:br/>
        <w:t xml:space="preserve">  • EM pulse generators with directional energy shaping.</w:t>
        <w:br/>
        <w:t xml:space="preserve">  • Bistable particle interactions supported by Van der Waals and dipole forces.</w:t>
        <w:br/>
        <w:t xml:space="preserve">  • Dissolution via acoustic, thermal, or magnetic field scrambling.</w:t>
        <w:br/>
        <w:br/>
        <w:t>- **Challenges**:</w:t>
        <w:br/>
        <w:t xml:space="preserve">  • Fine control of crystal growth geometry in a dynamic field environment.</w:t>
        <w:br/>
        <w:t xml:space="preserve">  • Reliable and repeatable readout protocols without damaging the structure.</w:t>
        <w:br/>
        <w:t xml:space="preserve">  • Avoiding spontaneous aggregation or unintended memory retention due to ambient noise.</w:t>
      </w:r>
    </w:p>
    <w:p>
      <w:pPr>
        <w:pStyle w:val="Heading2"/>
      </w:pPr>
      <w:r>
        <w:t>7. Experimental Pathway</w:t>
      </w:r>
    </w:p>
    <w:p>
      <w:r>
        <w:t>- Step 1: Fabricate spherical containment vessel with embedded EM emitters.</w:t>
        <w:br/>
        <w:t>- Step 2: Test plasma pulses to induce visible aggregation patterns in ferrofluid with known inputs.</w:t>
        <w:br/>
        <w:t>- Step 3: Record formation and assess optical/magnetic properties over time.</w:t>
        <w:br/>
        <w:t>- Step 4: Design pulse-based erasure protocols.</w:t>
        <w:br/>
        <w:t>- Step 5: Validate harmonic return signal presence against input waveform fingerprints.</w:t>
      </w:r>
    </w:p>
    <w:p>
      <w:pPr>
        <w:pStyle w:val="Heading2"/>
      </w:pPr>
      <w:r>
        <w:t>8. Conclusion</w:t>
      </w:r>
    </w:p>
    <w:p>
      <w:r>
        <w:t>In this memory model, the medium itself becomes the record. Plasma-initiated crystallization in ferro-magnetic suspensions enables a form of natural holography—one that evolves, stabilizes, and responds only to the voice that shaped it. Unlike electronic registers or quantum entanglement, this architecture favors analog fidelity, biological parallelism, and material intimacy. Future research should explore spatial encoding complexity, long-term stability, and phase-based security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