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24: Thermomagnetic Resonance — Integrating Magnetic Cooling into WCFOMA</w:t>
      </w:r>
    </w:p>
    <w:p>
      <w:r>
        <w:t>This chapter explores how recent advancements in magnetic cooling—particularly the magnetocaloric effect (MCE) and thermomagnetic convection—can resolve persistent engineering challenges identified in earlier chapters of WCFOMA development. The integration of these principles has the potential to enhance stability, energy efficiency, and long-term memory integrity across the ferro-optic system.</w:t>
      </w:r>
    </w:p>
    <w:p>
      <w:pPr>
        <w:pStyle w:val="Heading1"/>
      </w:pPr>
      <w:r>
        <w:t>1. Engineering Challenge Overview</w:t>
      </w:r>
    </w:p>
    <w:p>
      <w:r>
        <w:t>From Chapters 12, 17, and 21, three recurrent engineering problems were identified:</w:t>
        <w:br/>
        <w:t>- Thermal drift in high-density crystalline structures (Ch. 21)</w:t>
        <w:br/>
        <w:t>- Energy-intensive reset cycles in the trinary capsule (Ch. 17)</w:t>
        <w:br/>
        <w:t>- Environmental instability of ferrofluid suspensions (Ch. 12)</w:t>
        <w:br/>
        <w:br/>
        <w:t>Each of these issues directly impairs memory retention, precision of write/erase cycles, or long-term usability. Magnetic cooling offers a unifying solution.</w:t>
      </w:r>
    </w:p>
    <w:p>
      <w:pPr>
        <w:pStyle w:val="Heading1"/>
      </w:pPr>
      <w:r>
        <w:t>2. Magnetocaloric Integration (Chapters 17 &amp; 21)</w:t>
      </w:r>
    </w:p>
    <w:p>
      <w:r>
        <w:t>In Chapter 21, the plasma-molded crystalline memory system was highly sensitive to ambient heat during formation and dissolution. The use of magnetocaloric alloys around or beneath the encoding vessel can provide targeted thermal stabilization.</w:t>
        <w:br/>
        <w:br/>
        <w:t>- Mechanism: Localized magnetic fields applied to MCE-active materials (e.g., gadolinium or Mn-based alloys) create entropy shifts that reduce temperature near the memory vessel.</w:t>
        <w:br/>
        <w:t>- Outcome: Heat released during crystallization is absorbed by MCE layers, preventing thermally-induced deformation or bleed-through between encoding layers.</w:t>
        <w:br/>
        <w:t>- Added Benefit: Controlled heat pulsing via MCE also enables dynamic erasure cycles without relying on active external cooling.</w:t>
      </w:r>
    </w:p>
    <w:p>
      <w:pPr>
        <w:pStyle w:val="Heading1"/>
      </w:pPr>
      <w:r>
        <w:t>3. Thermomagnetic Convection (Chapter 12)</w:t>
      </w:r>
    </w:p>
    <w:p>
      <w:r>
        <w:t>The vertically suspended ferrofluid capsule (Chapter 12) faced challenges in managing internal fluid gradients and preventing stagnation or unintentional clustering.</w:t>
        <w:br/>
        <w:br/>
        <w:t>By embedding passive heat sources and a stationary magnet below the capsule, thermomagnetic convection can maintain consistent flow and field alignment:</w:t>
        <w:br/>
        <w:t>- No moving pumps required</w:t>
        <w:br/>
        <w:t>- Internal reorganization occurs only when charge differentials emerge</w:t>
        <w:br/>
        <w:t>- This preserves the capsule’s geometric logic while minimizing mechanical interference</w:t>
      </w:r>
    </w:p>
    <w:p>
      <w:pPr>
        <w:pStyle w:val="Heading1"/>
      </w:pPr>
      <w:r>
        <w:t>4. Low-Energy Reset Protocol (Chapter 17)</w:t>
      </w:r>
    </w:p>
    <w:p>
      <w:r>
        <w:t>One of the major drawbacks of the trinary capsule was the energy cost of resetting the ferrogel gate layer. Previous solutions involved piezo or thermoelectric methods.</w:t>
        <w:br/>
        <w:br/>
        <w:t>With magnetic cooling:</w:t>
        <w:br/>
        <w:t>- A brief magnetic pulse induces MCE in adjacent plates.</w:t>
        <w:br/>
        <w:t>- The resulting localized cooling transitions the gel back to a relaxed state.</w:t>
        <w:br/>
        <w:t>- This provides a consistent and power-efficient erasure process.</w:t>
        <w:br/>
        <w:br/>
        <w:t>Unlike mechanical deformation, this approach avoids material fatigue and supports longer cycle life.</w:t>
      </w:r>
    </w:p>
    <w:p>
      <w:pPr>
        <w:pStyle w:val="Heading1"/>
      </w:pPr>
      <w:r>
        <w:t>5. Environmental Shielding and Stability (Chapters 19 &amp; 23)</w:t>
      </w:r>
    </w:p>
    <w:p>
      <w:r>
        <w:t>The harmonic film stack (Chapter 19) and spiral stylus system (Chapter 23) both suffer from environmental thermal drift, which distorts spatial encoding.</w:t>
        <w:br/>
        <w:br/>
        <w:t>Thermomagnetic convection panels built into the housing of these systems can dissipate environmental heat while maintaining a dynamic but consistent thermal envelope.</w:t>
        <w:br/>
        <w:br/>
        <w:t>- In the spiral stylus case, heat-sensitive substrates like silica can retain stable spiral groove geometry longer.</w:t>
        <w:br/>
        <w:t>- For the film stack, reduced thermal crosstalk prevents spontaneous layer activation, preserving the system’s address-free logic.</w:t>
      </w:r>
    </w:p>
    <w:p>
      <w:pPr>
        <w:pStyle w:val="Heading1"/>
      </w:pPr>
      <w:r>
        <w:t>6. Engineering Integration Summary</w:t>
      </w:r>
    </w:p>
    <w:p>
      <w:r>
        <w:t>Magnetic cooling offers the following direct advantages for WCFOMA:</w:t>
        <w:br/>
        <w:t>- Non-invasive thermal regulation</w:t>
        <w:br/>
        <w:t>- Reduced power requirements for reset and erase</w:t>
        <w:br/>
        <w:t>- Stabilized ferrofluid logic in complex capsule geometries</w:t>
        <w:br/>
        <w:t>- Material longevity through passive thermal cycling</w:t>
        <w:br/>
        <w:br/>
        <w:t>In each case, magnetic cooling not only reduces failure modes but improves the architectural clarity of the system—paving the way for a truly analog, field-based storage system that is both self-regulating and scalable.</w:t>
      </w:r>
    </w:p>
    <w:p>
      <w:pPr>
        <w:pStyle w:val="Heading1"/>
      </w:pPr>
      <w:r>
        <w:t>7. Next Steps and Materials Roadmap</w:t>
      </w:r>
    </w:p>
    <w:p>
      <w:r>
        <w:t>- Phase 1: Select magnetocaloric materials with high effect near room temperature (e.g., LaFeSiH, Mn-based alloys).</w:t>
        <w:br/>
        <w:t>- Phase 2: Prototype a ferrogel capsule embedded in a MCE substrate, and validate reset/erase functions under cyclical load.</w:t>
        <w:br/>
        <w:t>- Phase 3: Integrate thermomagnetic convection housing around an active spiral stylus system and observe encoding integrity over time.</w:t>
        <w:br/>
        <w:t>- Phase 4: Model thermal gradients and field interactions using COMSOL or ANSYS to ensure resonant field integrity is preserved.</w:t>
      </w:r>
    </w:p>
    <w:p>
      <w:pPr>
        <w:pStyle w:val="Heading1"/>
      </w:pPr>
      <w:r>
        <w:t>8. Conclusion</w:t>
      </w:r>
    </w:p>
    <w:p>
      <w:r>
        <w:t>Magnetic cooling—long considered a curiosity of physics—is now revealing its engineering power. In WCFOMA’s context, it does not simply cool: it stabilizes structure, unlocks reversibility, and amplifies the possibility of field-coherent memory at ambient scales.</w:t>
        <w:br/>
        <w:br/>
        <w:t>The lesson is clear: just as sound sculpts matter, so too can magnetism shape memory—not by force, but by tuning the temperature of thought.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