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28: The Resonant Badge Network — A Standing-Field Activated Memory Array</w:t>
      </w:r>
    </w:p>
    <w:p>
      <w:pPr>
        <w:pStyle w:val="Heading1"/>
      </w:pPr>
      <w:r>
        <w:t>Introduction</w:t>
      </w:r>
    </w:p>
    <w:p>
      <w:r>
        <w:t>This chapter explores a novel mechanism of memory activation and data access within the WCFOMA architecture, utilizing resonance fields, spatial structuring, and self-organizing behavior in layered magnetic suspensions. The system's core consists of Trinary Capsules that respond to entrained magnetic fields by entering phase-locked resonant states. This architecture allows a memory array to respond to field-based excitation like a musical instrument—where each Capsule 'sings back' when struck by the right field, forming a spatially coherent, energy-efficient, and highly scalable memory environment.</w:t>
      </w:r>
    </w:p>
    <w:p>
      <w:pPr>
        <w:pStyle w:val="Heading1"/>
      </w:pPr>
      <w:r>
        <w:t>Field-Locked Trinary Capsule Activation</w:t>
      </w:r>
    </w:p>
    <w:p>
      <w:r>
        <w:t>The outer shell of each Trinary Capsule is engineered with embedded mu-metal and magnetostrictive shielding, ensuring that it only becomes resonant within an entrained standing magnetic field of the correct harmonic signature. Once activated, the Capsule oscillates at high frequency, and these oscillations generate usable current through magnetoinductive or piezoelectric means—powering internal operations without external wiring.</w:t>
      </w:r>
    </w:p>
    <w:p>
      <w:r>
        <w:t>Each Capsule is tuned to one of twelve harmonics across the scale. Within a local cluster, twelve Capsules together form a complete 'octave' of memory access states, each accessible by modulating the applied magnetic waveform. These waveforms act like notes in a song—triggering different responses depending on the frequency, duration, and field shape.</w:t>
      </w:r>
    </w:p>
    <w:p>
      <w:pPr>
        <w:pStyle w:val="Heading1"/>
      </w:pPr>
      <w:r>
        <w:t>Coherent Playback and Magnetic Modulation</w:t>
      </w:r>
    </w:p>
    <w:p>
      <w:r>
        <w:t>The system employs rapid pulsing of magnetic fields (akin to a pipe organ's foot pedal) to sequence field states coherently across time. Magnetic field generators (e.g., driven by digitally shaped pulse-width modulation) can produce precision-tuned fields that excite specific Capsules while avoiding crosstalk.</w:t>
      </w:r>
    </w:p>
    <w:p>
      <w:r>
        <w:t>The question of playback speed hinges on current high-speed magnetic field switching technology. Solid-state drivers and low-inductance coil systems are capable of microsecond switching, making it feasible to 'play' field states quickly enough for coherent memory access, even across layered capsule arrays.</w:t>
      </w:r>
    </w:p>
    <w:p>
      <w:pPr>
        <w:pStyle w:val="Heading1"/>
      </w:pPr>
      <w:r>
        <w:t>Spatial Organization in Viscous Ferrofluid Layers ('Rabbit Soup')</w:t>
      </w:r>
    </w:p>
    <w:p>
      <w:r>
        <w:t>Trinary Capsules are suspended in a multilayered ferrofluid system with varied viscosities—each layer forming a natural shear boundary. Magnetic and acoustic waves stir the ferrofluid continuously in controlled vortex patterns. This behavior arranges the Capsules dynamically into lattice-like structures, allowing phase locking of Capsules within particular layers depending on their rotational inertia, field interaction, and wave feedback.</w:t>
      </w:r>
    </w:p>
    <w:p>
      <w:r>
        <w:t>This dynamic structuring acts like a three-dimensional Rubik’s cube. Capsules move or settle into discrete rotational positions, creating predictable memory configurations with embedded harmonic states. Once organized, these structures become spatially stable unless perturbed.</w:t>
      </w:r>
    </w:p>
    <w:p>
      <w:pPr>
        <w:pStyle w:val="Heading1"/>
      </w:pPr>
      <w:r>
        <w:t>Post-Activation Crystallization and Data Retrieval</w:t>
      </w:r>
    </w:p>
    <w:p>
      <w:r>
        <w:t>When the excitation field is removed, the system returns to rest. The ferrofluid medium hardens over time, encasing the memory structure like amber. The encapsulated Capsules retain their harmonic identities, enabling passive readout through magnetic, optical, or acoustic interrogation.</w:t>
      </w:r>
    </w:p>
    <w:p>
      <w:r>
        <w:t>This is analogous to pressing a vinyl record or stacking transparent CD-ROMs: the spatial state is permanently preserved, yet readable through multiple sensing domains. Furthermore, the nature of holographic encoding ensures that partial data loss (e.g., structural cracks) still preserves full data reconstruction due to distributed wavefront storage.</w:t>
      </w:r>
    </w:p>
    <w:p>
      <w:pPr>
        <w:pStyle w:val="Heading1"/>
      </w:pPr>
      <w:r>
        <w:t>Scientific Foundations and Engineering Constraints</w:t>
      </w:r>
    </w:p>
    <w:p>
      <w:r>
        <w:t xml:space="preserve">Key scientific foundations include: </w:t>
        <w:br/>
        <w:t xml:space="preserve">- Magnetostrictive and piezoelectric materials for oscillation-driven energy harvesting </w:t>
        <w:br/>
        <w:t xml:space="preserve">- Vortex-induced ferrofluid ordering from MHD (magnetohydrodynamic) principles </w:t>
        <w:br/>
        <w:t xml:space="preserve">- Temporal coherence in shaped magnetic field emission (as explored in high-speed PWM EM generation) </w:t>
        <w:br/>
        <w:t>- Phase change and shear thinning in magneto-responsive fluids for reversible structure locking</w:t>
      </w:r>
    </w:p>
    <w:p>
      <w:r>
        <w:t>These technologies exist in early or adjacent domains, such as magnetic cooling, ferrofluid-based computation, and high-speed EM pulse shaping. The challenge is not physical impossibility but rather integration and precise control.</w:t>
      </w:r>
    </w:p>
    <w:p>
      <w:pPr>
        <w:pStyle w:val="Heading1"/>
      </w:pPr>
      <w:r>
        <w:t>Conclusion</w:t>
      </w:r>
    </w:p>
    <w:p>
      <w:r>
        <w:t>Chapter 28 presents a powerful model for dynamic, resonance-driven memory based on the orchestration of magnetic fields, harmonic materials, and programmable fluid dynamics. The ability to 'compose' a state and then freeze it into memory while maintaining multi-modal access promises advantages in energy, stability, security, and scalability. The vision is a field-activated memory environment where each Capsule is a note, each cluster a chord, and each vortex layer a harmonic staff in a song written not with bits but with waveforms.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