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29: Resonant Authentication — Nested Harmonic Gates and the King’s Stone Playback Model</w:t>
      </w:r>
    </w:p>
    <w:p>
      <w:pPr>
        <w:pStyle w:val="Heading1"/>
      </w:pPr>
      <w:r>
        <w:t>Introduction</w:t>
      </w:r>
    </w:p>
    <w:p>
      <w:r>
        <w:t>This chapter examines the feasibility and security potential of using nested harmonic sequences for authenticated read/write access to memory cells in WCFOMA. Drawing inspiration from polarizing filters, nested resonance chambers, and magnetic routing principles, the system replaces traditional digital keys with analog waveform challenges—requiring precise sequences of magnetic, acoustic, or optical signatures to traverse increasingly selective barriers within a Trinary Capsule. A tactile metaphor—the King's Stone on an amber memory disc—is used to model resonant navigation through a phase-encoded memory structure.</w:t>
      </w:r>
    </w:p>
    <w:p>
      <w:pPr>
        <w:pStyle w:val="Heading1"/>
      </w:pPr>
      <w:r>
        <w:t>Nested Resonant Shells: Polarization and Sequence-Based Gating</w:t>
      </w:r>
    </w:p>
    <w:p>
      <w:r>
        <w:t>Each Trinary Capsule is envisioned as a Russian doll structure with up to twelve concentric layers, each tuned to a discrete resonant frequency. These layers behave like polarizing filters—opaque unless activated in a precise sequence. Resonance access is not binary but a spectrum of wave-permeability based on angular field alignment, signal chirality, and amplitude-frequency pairing.</w:t>
      </w:r>
    </w:p>
    <w:p>
      <w:r>
        <w:t>To access the inner core (e.g., the ‘C# layer’), the external field must first pass through outer layers (B, B♭, A, etc.) using harmonic entrainment. This technique mirrors the behavior of waveguides and selective metamaterials, where only certain waveforms can tunnel through stacked photonic or phononic structures.</w:t>
      </w:r>
    </w:p>
    <w:p>
      <w:pPr>
        <w:pStyle w:val="Heading1"/>
      </w:pPr>
      <w:r>
        <w:t>Security and Damage Resistance</w:t>
      </w:r>
    </w:p>
    <w:p>
      <w:r>
        <w:t>Unlike traditional memory systems, Trinary Capsules are not easily disrupted by casual magnetic exposure. The outer shell can be designed using ferrite composites or spintronic laminates that exhibit resonant locking only in field conditions matching the expected harmonic gate sequence. Random magnetic fields will fail to activate nested shells or produce meaningful oscillations. This approach provides passive protection against interference and supports tiered access based on field complexity.</w:t>
      </w:r>
    </w:p>
    <w:p>
      <w:r>
        <w:t>The nested structure provides resistance to external tampering without requiring power to remain locked. The use of discrete standing wave states in conjunction with field-permeable materials supports read-only, read-write, or erase-only operations depending on the field harmonics presented—similar to how encrypted optical storage media can include nested access privileges.</w:t>
      </w:r>
    </w:p>
    <w:p>
      <w:pPr>
        <w:pStyle w:val="Heading1"/>
      </w:pPr>
      <w:r>
        <w:t>Playback via Resonant Guidance: The King's Stone</w:t>
      </w:r>
    </w:p>
    <w:p>
      <w:r>
        <w:t>The King’s Stone is a metaphor for a mobile actuator or probe (magnetically suspended) that rides the harmonic feedback path created by Trinary Capsules on a crystallized disc or grid. Like a stylus guided by groove geometry, the Stone moves not by mechanical friction but via field-following. It follows the lowest resistance waveform gradient, akin to the potential-following paths seen in ferrofluid patterning or domain wall conduction.</w:t>
      </w:r>
    </w:p>
    <w:p>
      <w:r>
        <w:t>Because the wave path was created by harmonically arranged capsules, the feedback loop between the Stone and substrate is self-correcting. As long as the initiating harmonic matches the original 'pressing', the playback will reconstruct the memory pattern. This process mirrors holography: even partial degradation does not destroy information due to distributed encoding.</w:t>
      </w:r>
    </w:p>
    <w:p>
      <w:pPr>
        <w:pStyle w:val="Heading1"/>
      </w:pPr>
      <w:r>
        <w:t>Scientific Foundations and Related Technologies</w:t>
      </w:r>
    </w:p>
    <w:p>
      <w:r>
        <w:t>- **Photonic crystals and polarization gating**: Layered materials tuned to block or pass specific wavelengths or polarizations have been studied extensively in optical computing.</w:t>
        <w:br/>
        <w:t>- **Spintronics and ferrite multilayers**: Spin-filter devices using resonance for state discrimination support similar logic in electron transport.</w:t>
        <w:br/>
        <w:t>- **Ferrofluid memory patterning**: Prior research (e.g., arXiv:0705.3402) demonstrates in-memory analog computing using ferrofluids and magnetic wavefronts.</w:t>
        <w:br/>
        <w:t>- **Magnetic levitation and domain-following routing**: Technologies exist that allow probes to ride field gradients, similar to how domain walls propagate in spintronic racetrack memory.</w:t>
      </w:r>
    </w:p>
    <w:p>
      <w:pPr>
        <w:pStyle w:val="Heading1"/>
      </w:pPr>
      <w:r>
        <w:t>Role Within WCFOMA</w:t>
      </w:r>
    </w:p>
    <w:p>
      <w:r>
        <w:t>This chapter’s model introduces a new class of analog security: memory that resists reading unless the exact harmonic authentication sequence is known. The ‘King’s Stone’ and nested shell concepts expand WCFOMA’s architecture with layered field access, reducing energy usage by storing authentication inside the phase structure of the memory itself. It opens paths to dynamic security, waveform-authenticated access, and analog key exchange protocols based on harmonic resonance rather than bits.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