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6: Exception to Thermodynamics—Toward Magnetically Structured Fluids for Memory Stability</w:t>
      </w:r>
    </w:p>
    <w:p>
      <w:pPr>
        <w:pStyle w:val="Heading1"/>
      </w:pPr>
      <w:r>
        <w:t>Introduction</w:t>
      </w:r>
    </w:p>
    <w:p>
      <w:r>
        <w:br/>
        <w:t>Recent experimental observations have revealed surprising behavior in mixtures of immiscible liquids infused with strongly magnetized particles. Researchers found that under the influence of a magnetic field, these particles self-organized into stable geometric structures, defying conventional expectations of entropy and thermodynamic dispersal.</w:t>
        <w:br/>
        <w:br/>
        <w:t>This finding bears direct relevance to WCFOMA. If memory is to be stored in wave-shaped coherence patterns within a ferrofluid, the longevity and clarity of those patterns rely on maintaining structural order — a challenge when entropy naturally seeks to dissolve it. This new magnetic exception offers a potential path forward.</w:t>
        <w:br/>
      </w:r>
    </w:p>
    <w:p>
      <w:pPr>
        <w:pStyle w:val="Heading1"/>
      </w:pPr>
      <w:r>
        <w:t>Scientific Implication</w:t>
      </w:r>
    </w:p>
    <w:p>
      <w:r>
        <w:br/>
        <w:t>In traditional thermodynamics, mixing two immiscible fluids (like oil and water) results in dispersion — droplets, emulsions, or separated layers. However, with the introduction of magnetized particles, the researchers observed the formation of persistent, urn-like structures. These structures were not driven solely by surface tension or buoyancy, but by the magnetic interactions of the particles themselves.</w:t>
        <w:br/>
        <w:br/>
        <w:t>This behavior suggests that magnetic interactions — particularly long-range, collective ones — can dominate entropy in small systems, allowing shape and pattern to persist in fluidic environments where we would otherwise expect disorder.</w:t>
        <w:br/>
      </w:r>
    </w:p>
    <w:p>
      <w:pPr>
        <w:pStyle w:val="Heading1"/>
      </w:pPr>
      <w:r>
        <w:t>Application to WCFOMA Memory Design</w:t>
      </w:r>
    </w:p>
    <w:p>
      <w:r>
        <w:br/>
        <w:t>The WCFOMA memory system can benefit from this insight in several ways:</w:t>
        <w:br/>
        <w:br/>
        <w:t>1. Stabilization of Patterns: The charged nanoparticles in the ferrofluid could be selected or engineered to exhibit strong magnetic dipole moments. When subject to a spatially tuned magnetic field, these particles may naturally form structures akin to cymatic patterns that remain even after wave excitation ceases.</w:t>
        <w:br/>
        <w:br/>
        <w:t>2. Magneto-Elastic Anchoring: Embedding the fluid within a semi-flexible polymer scaffold or matrix could allow the wave-induced structures to "sink in" — like footprints in wet sand — which could then be lightly magnetically reinforced without freezing the entire fluid.</w:t>
        <w:br/>
        <w:br/>
        <w:t>3. Phase-Locked Self-Assembly: Introducing subtle geometric boundaries or low-energy lattice zones into the reservoir (micro-pillars, nanoscale channels, or patterned substrates) could nudge the particles toward forming stable, readable geometries.</w:t>
        <w:br/>
        <w:br/>
        <w:t>4. Field-Suspended Memory Modes: With the right field architecture, memory states might be suspended as “levitating” configurations of particles — dynamically stable until purposefully collapsed.</w:t>
        <w:br/>
      </w:r>
    </w:p>
    <w:p>
      <w:pPr>
        <w:pStyle w:val="Heading1"/>
      </w:pPr>
      <w:r>
        <w:t>Experimental Recommendations</w:t>
      </w:r>
    </w:p>
    <w:p>
      <w:r>
        <w:br/>
        <w:t>- Use mixtures of immiscible liquids (oil-based carrier + water-based magnetized suspension) to create natural phase boundaries for pattern stability.</w:t>
        <w:br/>
        <w:t>- Introduce highly magnetic nanoparticles (e.g., doped nickel, cobalt ferrite) with controlled size dispersion and surface coatings to favor self-alignment.</w:t>
        <w:br/>
        <w:t>- Test pattern persistence after excitation, using coherent laser-based imaging or optical polarization tracking.</w:t>
        <w:br/>
        <w:t>- Vary magnetic field geometries (radial, ring, rotating) to determine which most effectively maintains a “memory cavity” in the fluid.</w:t>
        <w:br/>
      </w:r>
    </w:p>
    <w:p>
      <w:pPr>
        <w:pStyle w:val="Heading1"/>
      </w:pPr>
      <w:r>
        <w:t>Conclusion</w:t>
      </w:r>
    </w:p>
    <w:p>
      <w:r>
        <w:br/>
        <w:t>The observed magnetic exception to thermodynamics reframes our expectations about structure in fluidic media. WCFOMA — a memory model defined by dynamic wave coherence — may find its strongest foundation in the very fluids we once considered too unstable for memory storage.</w:t>
        <w:br/>
        <w:br/>
        <w:t>By embracing the idea that magnetism can momentarily override entropy, we allow information to float — held in structured resonance — like the shape of a shell left in sand after the tide.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