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8: Photothermal Control in Coherent Memory Systems</w:t>
      </w:r>
    </w:p>
    <w:p>
      <w:r>
        <w:t>As WCFOMA advances toward a functional memory architecture, precise thermal control becomes essential — not only to manage material stability but to guide coherence. This chapter explores the use of the photo-molecular effect as a method of thermal modulation, allowing specific regions of the memory system to heat, cool, or change phase dynamically in response to patterned light. This capability offers unprecedented finesse over memory write, erase, and refresh cycles, mimicking natural biological systems and enabling new forms of optically gated logic.</w:t>
      </w:r>
    </w:p>
    <w:p>
      <w:pPr>
        <w:pStyle w:val="Heading2"/>
      </w:pPr>
      <w:r>
        <w:t>1. The Photo-Molecular Effect</w:t>
      </w:r>
    </w:p>
    <w:p>
      <w:r>
        <w:t>The photo-molecular effect encompasses several light-triggered phenomena:</w:t>
        <w:br/>
        <w:t>- **Photothermal conversion**: Light is absorbed and converted to heat.</w:t>
        <w:br/>
        <w:t>- **Photoisomerization**: Molecules change shape in response to light (e.g., azobenzene).</w:t>
        <w:br/>
        <w:t>- **Photomechanical response**: Molecules physically shift, often expanding or contracting.</w:t>
        <w:br/>
        <w:t>- **Optical alignment**: Light polarizes or aligns molecules, changing their thermal conductivity or flow dynamics.</w:t>
        <w:br/>
        <w:t>These effects are highly localized and controllable by wavelength, intensity, and polarization — enabling programmable spatial heat maps within a memory system.</w:t>
      </w:r>
    </w:p>
    <w:p>
      <w:pPr>
        <w:pStyle w:val="Heading2"/>
      </w:pPr>
      <w:r>
        <w:t>2. Layered Integration with WCFOMA</w:t>
      </w:r>
    </w:p>
    <w:p>
      <w:r>
        <w:t>Photothermal materials can be embedded into or layered atop the ferrofluidic memory core. A representative stack might include:</w:t>
        <w:br/>
        <w:t>- **Top Layer**: A light-sensitive polymer (e.g., azobenzene or spiropyran embedded in PMMA) that undergoes a molecular shift when irradiated.</w:t>
        <w:br/>
        <w:t>- **Core Layer**: The ferrofluidic memory suspension, whose viscosity and coherence states are modulated by temperature.</w:t>
        <w:br/>
        <w:t>- **Substrate Layer**: A reflective or thermal management layer, optionally embedded with nanostructures that enhance heat conduction or dissipation.</w:t>
      </w:r>
    </w:p>
    <w:p>
      <w:r>
        <w:t>When exposed to patterned light, specific regions heat selectively, causing local viscosity changes or structural softening. This allows wave-coherent patterns to form, relax, or be erased with targeted thermal fields.</w:t>
      </w:r>
    </w:p>
    <w:p>
      <w:pPr>
        <w:pStyle w:val="Heading2"/>
      </w:pPr>
      <w:r>
        <w:t>3. Thermo-Coherence Control Mechanism</w:t>
      </w:r>
    </w:p>
    <w:p>
      <w:r>
        <w:t>The memory encoding process can now incorporate thermals as a fourth control dimension (after wave input, compression, and relaxation):</w:t>
        <w:br/>
        <w:t>- **Write assist**: Heat specific areas to reduce viscosity and allow realignment.</w:t>
        <w:br/>
        <w:t>- **Erase assist**: Use broad light patterns to homogenize the ferrofluid and wipe memory.</w:t>
        <w:br/>
        <w:t>- **Selective refresh**: Reheat fading nodes to boost coherence.</w:t>
        <w:br/>
        <w:t>- **Thermal gating**: Pattern temperature zones to modulate flow and memory 'fidelity windows.'</w:t>
      </w:r>
    </w:p>
    <w:p>
      <w:pPr>
        <w:pStyle w:val="Heading2"/>
      </w:pPr>
      <w:r>
        <w:t>4. Experimental and Engineering Recommendations</w:t>
      </w:r>
    </w:p>
    <w:p>
      <w:r>
        <w:t>- Use photothermal nanoparticles (e.g., gold nanorods, graphene oxide) mixed into the ferrofluid to enable IR or visible-triggered heating.</w:t>
        <w:br/>
        <w:t>- Implement azobenzene-based polymers on the surface for mechanical deformation under light.</w:t>
        <w:br/>
        <w:t>- Use focused lasers or structured light projectors to write spatial thermal maps.</w:t>
        <w:br/>
        <w:t>- Monitor memory response using polarimetry or birefringence imaging.</w:t>
        <w:br/>
        <w:t>- Vary exposure time and light spectrum to tune thermal penetration and response.</w:t>
      </w:r>
    </w:p>
    <w:p>
      <w:pPr>
        <w:pStyle w:val="Heading2"/>
      </w:pPr>
      <w:r>
        <w:t>5. Implications for System Architecture</w:t>
      </w:r>
    </w:p>
    <w:p>
      <w:r>
        <w:t>Photothermal control introduces a non-contact, reversible, and energy-efficient way to manage ferro-optic memory states. Unlike magnetic-only systems, light-based control allows rapid switching between modes without mechanical stress or electrical wear. Moreover, the use of light to 'develop' or stabilize memory states reinforces the Polaroid analogy introduced in Chapter 7 — but here, the light not only captures the memory, it also helps form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