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 Cylinder-Hair Compression Memory Cells</w:t>
      </w:r>
    </w:p>
    <w:p>
      <w:r>
        <w:t>In this chapter, we reimagine the foundational geometry of WCFOMA through a radically intuitive architecture: the cylinder-hair compression model. Instead of a flat layered stack, each memory unit is a vertically-oriented micro-cylinder filled with magnetically responsive fluid and a single suspended coiled nanostructure — a ‘hair.’ This design draws from the principles of the photo-molecular and magneto-mechanical effects to encode memory via controlled compression, waveform collapse, and spatial relaxation.</w:t>
      </w:r>
    </w:p>
    <w:p>
      <w:pPr>
        <w:pStyle w:val="Heading2"/>
      </w:pPr>
      <w:r>
        <w:t>1. Architecture Overview</w:t>
      </w:r>
    </w:p>
    <w:p>
      <w:r>
        <w:t>Each memory cell consists of the following components:</w:t>
        <w:br/>
        <w:t>- **Cylinder Wall**: Transparent and optically neutral, made from quartz or sapphire.</w:t>
        <w:br/>
        <w:t>- **Hair (Coiled Fiber)**: A ferromagnetic or piezoelectric nanostring with memory-receptive elasticity.</w:t>
        <w:br/>
        <w:t>- **Magnetic Soup**: A high-viscosity ferrofluid or magnetorheological gel.</w:t>
        <w:br/>
        <w:t>- **Compression Cap**: An actuator element that initiates a write cycle.</w:t>
        <w:br/>
        <w:t>- **Optical Readout**: A top-down polarized light sensor that captures the projected configuration of the nanostring.</w:t>
      </w:r>
    </w:p>
    <w:p>
      <w:pPr>
        <w:pStyle w:val="Heading2"/>
      </w:pPr>
      <w:r>
        <w:t>2. Memory Encoding Through Compression</w:t>
      </w:r>
    </w:p>
    <w:p>
      <w:r>
        <w:t>During the write phase, the compression cap applies a vertical force across the cylinder, squishing the coiled nanostring into the dense magnetic fluid. The ferrofluid’s resistance and the intrinsic elastic response of the nanostring shape the outcome. This compression phase constitutes the 'flash' — a moment of coherence collapse where the geometry of the string encodes the data.</w:t>
      </w:r>
    </w:p>
    <w:p>
      <w:pPr>
        <w:pStyle w:val="Heading2"/>
      </w:pPr>
      <w:r>
        <w:t>3. Relaxation and Memory Retention</w:t>
      </w:r>
    </w:p>
    <w:p>
      <w:r>
        <w:t>As compression is released, the nanostring begins to uncoil, but it does not return to its initial state. The surrounding ferrofluid and the dissipated magnetic energy dampen the motion, freezing the string mid-relaxation. From the top-down optical view, this projection of the 3D string encodes a 2D memory signature. The longer the system is allowed to settle, the more clearly the memory pattern is retained — akin to the development of a Polaroid image.</w:t>
      </w:r>
    </w:p>
    <w:p>
      <w:pPr>
        <w:pStyle w:val="Heading2"/>
      </w:pPr>
      <w:r>
        <w:t>4. Physics and Feasibility</w:t>
      </w:r>
    </w:p>
    <w:p>
      <w:r>
        <w:t>- **Miniaturization**: Nanoscale cylinders can be fabricated using MEMS or soft lithography.</w:t>
        <w:br/>
        <w:t>- **Shielding**: Electromagnetic cross-talk can be mitigated using layered magnetic shielding or isolating gels.</w:t>
        <w:br/>
        <w:t>- **Thermal Isolation**: Proper materials and optical gating ensure memory retention and control drift.</w:t>
        <w:br/>
        <w:t>- **Optical Readout**: CMOS or photonic lens arrays enable tight grid packing with non-invasive read cycles.</w:t>
        <w:br/>
        <w:t>- **Coil Placement**: DNA origami, robotic assembly, or spin-casting techniques may be used to place and configure nanostrings.</w:t>
      </w:r>
    </w:p>
    <w:p>
      <w:pPr>
        <w:pStyle w:val="Heading2"/>
      </w:pPr>
      <w:r>
        <w:t>5. Toward a 3D Memory Lattice</w:t>
      </w:r>
    </w:p>
    <w:p>
      <w:r>
        <w:t>The cylinder-hair model allows each voxel of memory to function as an independent resonant system, suggesting the viability of 3D memory architectures. Just as holography encodes spatial interference, this architecture encodes dynamic structural memory — held in magnetic, mechanical, and optical states simultaneously.</w:t>
      </w:r>
    </w:p>
    <w:p>
      <w:pPr>
        <w:pStyle w:val="Heading2"/>
      </w:pPr>
      <w:r>
        <w:t>6. Multi-Bit Encoding Mechanism</w:t>
      </w:r>
    </w:p>
    <w:p>
      <w:r>
        <w:t>One of the core strengths of the cylinder-hair architecture is its inherent support for multi-bit encoding. Each memory cell's nanostring can settle into a variety of semi-stable configurations, allowing more than one bit of data to be stored per cell. This is achieved through geometric diversity — the coiled hair can form different shapes upon compression and relaxation, including varying loop counts, tightness, asymmetry, and torsional states.</w:t>
      </w:r>
    </w:p>
    <w:p>
      <w:r>
        <w:t>These configurations can be optically read from the top-down as distinct 2D projections. The features may include:</w:t>
        <w:br/>
        <w:t>- **Loop count**: Corresponding to the number of wave nodes.</w:t>
        <w:br/>
        <w:t>- **Spiral radius or tightness**: Indicating compression strength.</w:t>
        <w:br/>
        <w:t>- **Torsional signature**: Twisted versus relaxed states.</w:t>
        <w:br/>
        <w:t>- **Symmetry**: Left- vs. right-handed coiling, centered vs. offset pattern.</w:t>
        <w:br/>
        <w:t>- **Projection complexity**: Rosette-like patterns indicating higher-order states.</w:t>
      </w:r>
    </w:p>
    <w:p>
      <w:r>
        <w:t>With high-resolution optical or polarimetric imaging, these states can be reliably classified into at least four distinct levels, enabling two-bit encoding per cell. With further refinements in filament composition and readout fidelity, this could extend to three or four bits per cell, rivaling or exceeding current multi-level cell (MLC) flash memory.</w:t>
      </w:r>
    </w:p>
    <w:p>
      <w:r>
        <w:t>This approach leverages the interplay between magnetic pressure, elastic strain, and viscoelastic resistance — each memory state is a frozen waveform snapshot, coiled into geometry rather than charge or spin orientation.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