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0405" w14:textId="77777777" w:rsidR="00BF4FC9" w:rsidRPr="00F72D6B" w:rsidRDefault="00BF4FC9" w:rsidP="00BF4FC9">
      <w:pPr>
        <w:rPr>
          <w:b/>
          <w:bCs/>
          <w:sz w:val="32"/>
          <w:szCs w:val="32"/>
        </w:rPr>
      </w:pPr>
      <w:r w:rsidRPr="00F72D6B">
        <w:rPr>
          <w:b/>
          <w:bCs/>
          <w:sz w:val="32"/>
          <w:szCs w:val="32"/>
        </w:rPr>
        <w:t>1. Confidence scores for target ID (full probs, no bare labels)</w:t>
      </w:r>
    </w:p>
    <w:p w14:paraId="2DEFDBAE" w14:textId="5D2B5AD7" w:rsidR="00BF4FC9" w:rsidRDefault="00BF4FC9" w:rsidP="00BF4FC9">
      <w:r>
        <w:t xml:space="preserve">Verdict: </w:t>
      </w:r>
      <w:r w:rsidR="00F72D6B">
        <w:rPr>
          <w:color w:val="EE0000"/>
        </w:rPr>
        <w:t>F</w:t>
      </w:r>
      <w:r w:rsidR="00F72D6B" w:rsidRPr="00F72D6B">
        <w:rPr>
          <w:color w:val="EE0000"/>
        </w:rPr>
        <w:t>ully</w:t>
      </w:r>
    </w:p>
    <w:p w14:paraId="65CB6DF6" w14:textId="314294EB" w:rsidR="00BF4FC9" w:rsidRDefault="00F72D6B" w:rsidP="00BF4FC9">
      <w:r w:rsidRPr="00F72D6B">
        <w:t>Full in the core Kafka classifier contracts (</w:t>
      </w:r>
      <w:proofErr w:type="spellStart"/>
      <w:r w:rsidRPr="00F72D6B">
        <w:t>identity_label</w:t>
      </w:r>
      <w:proofErr w:type="spellEnd"/>
      <w:r w:rsidRPr="00F72D6B">
        <w:t xml:space="preserve"> + confidence + full </w:t>
      </w:r>
      <w:proofErr w:type="spellStart"/>
      <w:r w:rsidRPr="00F72D6B">
        <w:t>class_probabilities</w:t>
      </w:r>
      <w:proofErr w:type="spellEnd"/>
      <w:r w:rsidRPr="00F72D6B">
        <w:t xml:space="preserve"> summing to 1).</w:t>
      </w:r>
    </w:p>
    <w:p w14:paraId="69DB27B0" w14:textId="77777777" w:rsidR="00BF4FC9" w:rsidRDefault="00BF4FC9" w:rsidP="00BF4FC9"/>
    <w:p w14:paraId="32938E78" w14:textId="77777777" w:rsidR="00BF4FC9" w:rsidRPr="00F72D6B" w:rsidRDefault="00BF4FC9" w:rsidP="00BF4FC9">
      <w:pPr>
        <w:rPr>
          <w:b/>
          <w:bCs/>
          <w:sz w:val="32"/>
          <w:szCs w:val="32"/>
        </w:rPr>
      </w:pPr>
      <w:r w:rsidRPr="00F72D6B">
        <w:rPr>
          <w:b/>
          <w:bCs/>
          <w:sz w:val="32"/>
          <w:szCs w:val="32"/>
        </w:rPr>
        <w:t>2. Threat classifier as capability slot (versioned container, API contract, Helm/K8s)</w:t>
      </w:r>
    </w:p>
    <w:p w14:paraId="1C4CA4CA" w14:textId="7DD07BB3" w:rsidR="00BF4FC9" w:rsidRDefault="00BF4FC9" w:rsidP="00BF4FC9">
      <w:r>
        <w:t xml:space="preserve">Verdict: </w:t>
      </w:r>
      <w:r w:rsidR="00F72D6B" w:rsidRPr="00F72D6B">
        <w:rPr>
          <w:color w:val="EE0000"/>
        </w:rPr>
        <w:t>P</w:t>
      </w:r>
      <w:r w:rsidRPr="00F72D6B">
        <w:rPr>
          <w:color w:val="EE0000"/>
        </w:rPr>
        <w:t>artial</w:t>
      </w:r>
    </w:p>
    <w:p w14:paraId="435A9A1F" w14:textId="77777777" w:rsidR="00BF4FC9" w:rsidRDefault="00BF4FC9" w:rsidP="00BF4FC9">
      <w:r>
        <w:t>Versioned workers + Docker + Kubernetes manifests exist in the generic Kafka A/B stack (</w:t>
      </w:r>
      <w:proofErr w:type="spellStart"/>
      <w:r>
        <w:t>ab_kafka_shadow_slot_enterprise</w:t>
      </w:r>
      <w:proofErr w:type="spellEnd"/>
      <w:r>
        <w:t xml:space="preserve">), with a published </w:t>
      </w:r>
      <w:proofErr w:type="spellStart"/>
      <w:r>
        <w:t>Pydantic</w:t>
      </w:r>
      <w:proofErr w:type="spellEnd"/>
      <w:r>
        <w:t xml:space="preserve">/JSON-style </w:t>
      </w:r>
      <w:proofErr w:type="spellStart"/>
      <w:r>
        <w:t>model_output</w:t>
      </w:r>
      <w:proofErr w:type="spellEnd"/>
      <w:r>
        <w:t xml:space="preserve"> contract — suitable as a pattern for a threat classifier, but not a dedicated “threat CLS” product tree in this workspace (no threat-</w:t>
      </w:r>
      <w:proofErr w:type="spellStart"/>
      <w:r>
        <w:t>cls</w:t>
      </w:r>
      <w:proofErr w:type="spellEnd"/>
      <w:r>
        <w:t>/ directory; only references in tests/audit text).</w:t>
      </w:r>
    </w:p>
    <w:p w14:paraId="05D76EB5" w14:textId="77777777" w:rsidR="00BF4FC9" w:rsidRDefault="00BF4FC9" w:rsidP="00BF4FC9">
      <w:r>
        <w:t xml:space="preserve">Helm appears for edge-ai-k3s-final; the Kafka bundle uses </w:t>
      </w:r>
      <w:proofErr w:type="spellStart"/>
      <w:r>
        <w:t>Kustomize</w:t>
      </w:r>
      <w:proofErr w:type="spellEnd"/>
      <w:r>
        <w:t xml:space="preserve"> YAML, not Helm — still satisfies “K8s manifest” if Helm is not mandatory.</w:t>
      </w:r>
    </w:p>
    <w:p w14:paraId="5E41B9BF" w14:textId="77777777" w:rsidR="00BF4FC9" w:rsidRDefault="00BF4FC9" w:rsidP="00BF4FC9"/>
    <w:p w14:paraId="34BEC842" w14:textId="77777777" w:rsidR="00BF4FC9" w:rsidRPr="00F72D6B" w:rsidRDefault="00BF4FC9" w:rsidP="00BF4FC9">
      <w:pPr>
        <w:rPr>
          <w:b/>
          <w:bCs/>
          <w:sz w:val="32"/>
          <w:szCs w:val="32"/>
        </w:rPr>
      </w:pPr>
      <w:r w:rsidRPr="00F72D6B">
        <w:rPr>
          <w:b/>
          <w:bCs/>
          <w:sz w:val="32"/>
          <w:szCs w:val="32"/>
        </w:rPr>
        <w:t>3. A/B deployment on Kafka (parallel versions, own topics, comparison)</w:t>
      </w:r>
    </w:p>
    <w:p w14:paraId="4AA2BA9E" w14:textId="2D604892" w:rsidR="00BF4FC9" w:rsidRDefault="00BF4FC9" w:rsidP="00BF4FC9">
      <w:r>
        <w:t xml:space="preserve">Verdict: </w:t>
      </w:r>
      <w:r w:rsidR="00F72D6B" w:rsidRPr="00F72D6B">
        <w:rPr>
          <w:color w:val="EE0000"/>
        </w:rPr>
        <w:t>F</w:t>
      </w:r>
      <w:r w:rsidRPr="00F72D6B">
        <w:rPr>
          <w:color w:val="EE0000"/>
        </w:rPr>
        <w:t>ully</w:t>
      </w:r>
    </w:p>
    <w:p w14:paraId="5FDE2F1D" w14:textId="77777777" w:rsidR="00BF4FC9" w:rsidRDefault="00BF4FC9" w:rsidP="00BF4FC9">
      <w:r>
        <w:t xml:space="preserve">README and code describe two workers, versioned output topics, shared input, </w:t>
      </w:r>
      <w:proofErr w:type="spellStart"/>
      <w:proofErr w:type="gramStart"/>
      <w:r>
        <w:t>classification.comparison</w:t>
      </w:r>
      <w:proofErr w:type="spellEnd"/>
      <w:proofErr w:type="gramEnd"/>
      <w:r>
        <w:t xml:space="preserve">, primary alias, etc. (already summarized in </w:t>
      </w:r>
      <w:proofErr w:type="spellStart"/>
      <w:r>
        <w:t>ab_kafka_shadow_slot_enterprise</w:t>
      </w:r>
      <w:proofErr w:type="spellEnd"/>
      <w:r>
        <w:t>/README.md).</w:t>
      </w:r>
    </w:p>
    <w:p w14:paraId="3BCA956C" w14:textId="77777777" w:rsidR="00BF4FC9" w:rsidRDefault="00BF4FC9" w:rsidP="00BF4FC9"/>
    <w:p w14:paraId="69C26511" w14:textId="77777777" w:rsidR="00BF4FC9" w:rsidRPr="00F72D6B" w:rsidRDefault="00BF4FC9" w:rsidP="00BF4FC9">
      <w:pPr>
        <w:rPr>
          <w:b/>
          <w:bCs/>
          <w:sz w:val="32"/>
          <w:szCs w:val="32"/>
        </w:rPr>
      </w:pPr>
      <w:r w:rsidRPr="00F72D6B">
        <w:rPr>
          <w:b/>
          <w:bCs/>
          <w:sz w:val="32"/>
          <w:szCs w:val="32"/>
        </w:rPr>
        <w:t>4. Calibrated confidence (ECE ≤ 0.05) + human-review threshold</w:t>
      </w:r>
    </w:p>
    <w:p w14:paraId="258DDD00" w14:textId="0D845DB4" w:rsidR="00BF4FC9" w:rsidRDefault="00BF4FC9" w:rsidP="00BF4FC9">
      <w:r>
        <w:t xml:space="preserve">Verdict: </w:t>
      </w:r>
      <w:r w:rsidR="00F72D6B" w:rsidRPr="00F72D6B">
        <w:rPr>
          <w:color w:val="EE0000"/>
        </w:rPr>
        <w:t>P</w:t>
      </w:r>
      <w:r w:rsidRPr="00F72D6B">
        <w:rPr>
          <w:color w:val="EE0000"/>
        </w:rPr>
        <w:t>artial</w:t>
      </w:r>
    </w:p>
    <w:p w14:paraId="4E641C3F" w14:textId="77777777" w:rsidR="00BF4FC9" w:rsidRDefault="00BF4FC9" w:rsidP="00BF4FC9">
      <w:r>
        <w:t xml:space="preserve">Human review + configurable thresholds + queue refs are implemented in </w:t>
      </w:r>
      <w:proofErr w:type="spellStart"/>
      <w:r>
        <w:t>confidence_routing_layer</w:t>
      </w:r>
      <w:proofErr w:type="spellEnd"/>
      <w:r>
        <w:t xml:space="preserve"> (see tests around </w:t>
      </w:r>
      <w:proofErr w:type="spellStart"/>
      <w:r>
        <w:t>human_review_required</w:t>
      </w:r>
      <w:proofErr w:type="spellEnd"/>
      <w:r>
        <w:t xml:space="preserve"> / </w:t>
      </w:r>
      <w:proofErr w:type="spellStart"/>
      <w:r>
        <w:t>review_queue_ref</w:t>
      </w:r>
      <w:proofErr w:type="spellEnd"/>
      <w:r>
        <w:t>).</w:t>
      </w:r>
    </w:p>
    <w:p w14:paraId="719C6F28" w14:textId="77777777" w:rsidR="00BF4FC9" w:rsidRDefault="00BF4FC9" w:rsidP="00BF4FC9">
      <w:r>
        <w:t xml:space="preserve">Strict calibration so reported confidence matches empirical accuracy with ECE ≤ 0.05 is not implemented as a fitting/validation loop here. </w:t>
      </w:r>
      <w:proofErr w:type="spellStart"/>
      <w:r>
        <w:t>confidence_routing_layer</w:t>
      </w:r>
      <w:proofErr w:type="spellEnd"/>
      <w:r>
        <w:t xml:space="preserve"> assumes probabilities are already calibrated upstream (see docstring on </w:t>
      </w:r>
      <w:proofErr w:type="spellStart"/>
      <w:r>
        <w:t>ClassifierOutputInput</w:t>
      </w:r>
      <w:proofErr w:type="spellEnd"/>
      <w:r>
        <w:t>).</w:t>
      </w:r>
    </w:p>
    <w:p w14:paraId="72E3D7CA" w14:textId="56E5BC46" w:rsidR="00BF4FC9" w:rsidRDefault="00BF4FC9" w:rsidP="00BF4FC9">
      <w:r>
        <w:t xml:space="preserve">In aces-confidence-engine, the field named </w:t>
      </w:r>
      <w:proofErr w:type="spellStart"/>
      <w:r>
        <w:t>expected_calibration_error</w:t>
      </w:r>
      <w:proofErr w:type="spellEnd"/>
      <w:r>
        <w:t xml:space="preserve"> in </w:t>
      </w:r>
      <w:proofErr w:type="spellStart"/>
      <w:r>
        <w:t>calibration_monitor</w:t>
      </w:r>
      <w:proofErr w:type="spellEnd"/>
      <w:r>
        <w:t xml:space="preserve"> is not standard binned ECE; it is |</w:t>
      </w:r>
      <w:proofErr w:type="spellStart"/>
      <w:r>
        <w:t>raw_top_score</w:t>
      </w:r>
      <w:proofErr w:type="spellEnd"/>
      <w:r>
        <w:t xml:space="preserve"> − </w:t>
      </w:r>
      <w:proofErr w:type="spellStart"/>
      <w:r>
        <w:t>calibrated_confidence</w:t>
      </w:r>
      <w:proofErr w:type="spellEnd"/>
      <w:r>
        <w:t>| on a single path — a different quantity:</w:t>
      </w:r>
    </w:p>
    <w:p w14:paraId="734DC339" w14:textId="77777777" w:rsidR="00F72D6B" w:rsidRDefault="00F72D6B" w:rsidP="00BF4FC9"/>
    <w:p w14:paraId="29DA42D7" w14:textId="77777777" w:rsidR="00BF4FC9" w:rsidRPr="00F72D6B" w:rsidRDefault="00BF4FC9" w:rsidP="00BF4FC9">
      <w:pPr>
        <w:rPr>
          <w:b/>
          <w:bCs/>
          <w:sz w:val="32"/>
          <w:szCs w:val="32"/>
        </w:rPr>
      </w:pPr>
      <w:r w:rsidRPr="00F72D6B">
        <w:rPr>
          <w:b/>
          <w:bCs/>
          <w:sz w:val="32"/>
          <w:szCs w:val="32"/>
        </w:rPr>
        <w:t>5. Explainability (SHAP or equivalent) + visible in COP detail panel</w:t>
      </w:r>
    </w:p>
    <w:p w14:paraId="6656A9CB" w14:textId="0E5C693F" w:rsidR="00BF4FC9" w:rsidRDefault="00BF4FC9" w:rsidP="00BF4FC9">
      <w:r>
        <w:t xml:space="preserve">Verdict: </w:t>
      </w:r>
      <w:r w:rsidR="00F72D6B" w:rsidRPr="00F72D6B">
        <w:rPr>
          <w:color w:val="EE0000"/>
        </w:rPr>
        <w:t>P</w:t>
      </w:r>
      <w:r w:rsidRPr="00F72D6B">
        <w:rPr>
          <w:color w:val="EE0000"/>
        </w:rPr>
        <w:t>artial</w:t>
      </w:r>
    </w:p>
    <w:p w14:paraId="25BCC1D1" w14:textId="77777777" w:rsidR="00BF4FC9" w:rsidRDefault="00BF4FC9" w:rsidP="00BF4FC9">
      <w:r>
        <w:lastRenderedPageBreak/>
        <w:t xml:space="preserve">Attribution is Integrated Gradients, not SHAP (stated in </w:t>
      </w:r>
      <w:proofErr w:type="spellStart"/>
      <w:r>
        <w:t>explainability_attribution_layer</w:t>
      </w:r>
      <w:proofErr w:type="spellEnd"/>
      <w:r>
        <w:t xml:space="preserve">/README.md); API models expose </w:t>
      </w:r>
      <w:proofErr w:type="spellStart"/>
      <w:r>
        <w:t>class_probabilities</w:t>
      </w:r>
      <w:proofErr w:type="spellEnd"/>
      <w:r>
        <w:t xml:space="preserve"> plus </w:t>
      </w:r>
      <w:proofErr w:type="spellStart"/>
      <w:r>
        <w:t>feature_attributions</w:t>
      </w:r>
      <w:proofErr w:type="spellEnd"/>
      <w:r>
        <w:t xml:space="preserve"> / rendered explanation endpoints (</w:t>
      </w:r>
      <w:proofErr w:type="spellStart"/>
      <w:r>
        <w:t>PredictionOutput</w:t>
      </w:r>
      <w:proofErr w:type="spellEnd"/>
      <w:r>
        <w:t xml:space="preserve"> in </w:t>
      </w:r>
      <w:proofErr w:type="spellStart"/>
      <w:r>
        <w:t>explainability_attribution_layer</w:t>
      </w:r>
      <w:proofErr w:type="spellEnd"/>
      <w:r>
        <w:t>/app/models.py).</w:t>
      </w:r>
    </w:p>
    <w:p w14:paraId="55642612" w14:textId="77777777" w:rsidR="00BF4FC9" w:rsidRDefault="00BF4FC9" w:rsidP="00BF4FC9">
      <w:r>
        <w:t>COP UI / “detail panel” is not built. There is only a minimal JSON schema for COP-related rendering events in the swap package (model-swap-acceptance-package/schemas/cop-rendering-events.schema.json), not an end-to-end COP integration.</w:t>
      </w:r>
    </w:p>
    <w:p w14:paraId="0DBB73DE" w14:textId="77777777" w:rsidR="00BF4FC9" w:rsidRDefault="00BF4FC9" w:rsidP="00BF4FC9"/>
    <w:p w14:paraId="7E1574C0" w14:textId="77777777" w:rsidR="00BF4FC9" w:rsidRPr="0057618D" w:rsidRDefault="00BF4FC9" w:rsidP="00BF4FC9">
      <w:pPr>
        <w:rPr>
          <w:b/>
          <w:bCs/>
          <w:sz w:val="32"/>
          <w:szCs w:val="32"/>
        </w:rPr>
      </w:pPr>
      <w:r w:rsidRPr="0057618D">
        <w:rPr>
          <w:b/>
          <w:bCs/>
          <w:sz w:val="32"/>
          <w:szCs w:val="32"/>
        </w:rPr>
        <w:t>6. Bias and drift monitoring (input/output drift, accuracy, per-class, alerts, C2 bus)</w:t>
      </w:r>
    </w:p>
    <w:p w14:paraId="182CDF64" w14:textId="1FAC626F" w:rsidR="00BF4FC9" w:rsidRDefault="00BF4FC9" w:rsidP="00BF4FC9">
      <w:r>
        <w:t xml:space="preserve">Verdict: </w:t>
      </w:r>
      <w:r w:rsidR="0057618D" w:rsidRPr="0057618D">
        <w:rPr>
          <w:color w:val="EE0000"/>
        </w:rPr>
        <w:t>P</w:t>
      </w:r>
      <w:r w:rsidRPr="0057618D">
        <w:rPr>
          <w:color w:val="EE0000"/>
        </w:rPr>
        <w:t>artial</w:t>
      </w:r>
    </w:p>
    <w:p w14:paraId="0E1ACE9D" w14:textId="77777777" w:rsidR="00BF4FC9" w:rsidRDefault="00BF4FC9" w:rsidP="00BF4FC9">
      <w:proofErr w:type="spellStart"/>
      <w:r>
        <w:t>ai_monitoring_layer</w:t>
      </w:r>
      <w:proofErr w:type="spellEnd"/>
      <w:r>
        <w:t xml:space="preserve"> ingests inference + ground truth, computes feature drift, prediction drift, accuracy, per-class summaries, and fairness-style subgroup metrics, exposes Prometheus metrics, Grafana/</w:t>
      </w:r>
      <w:proofErr w:type="spellStart"/>
      <w:r>
        <w:t>Alertmanager</w:t>
      </w:r>
      <w:proofErr w:type="spellEnd"/>
      <w:r>
        <w:t xml:space="preserve"> assets, and alert handling.</w:t>
      </w:r>
    </w:p>
    <w:p w14:paraId="3575148F" w14:textId="77777777" w:rsidR="00BF4FC9" w:rsidRDefault="00BF4FC9" w:rsidP="00BF4FC9">
      <w:r>
        <w:t xml:space="preserve">A pluggable </w:t>
      </w:r>
      <w:proofErr w:type="spellStart"/>
      <w:r>
        <w:t>internal_alert_bus_urls</w:t>
      </w:r>
      <w:proofErr w:type="spellEnd"/>
      <w:r>
        <w:t xml:space="preserve"> fanout exists — usable as a stand-in for a command/alerts bus, but there is no specific C2 system integration in code beyond configurable HTTP URLs.</w:t>
      </w:r>
    </w:p>
    <w:p w14:paraId="49973E8B" w14:textId="77777777" w:rsidR="00BF4FC9" w:rsidRDefault="00BF4FC9" w:rsidP="00BF4FC9"/>
    <w:p w14:paraId="67A27C47" w14:textId="77777777" w:rsidR="00BF4FC9" w:rsidRPr="0057618D" w:rsidRDefault="00BF4FC9" w:rsidP="00BF4FC9">
      <w:pPr>
        <w:rPr>
          <w:b/>
          <w:bCs/>
          <w:sz w:val="32"/>
          <w:szCs w:val="32"/>
        </w:rPr>
      </w:pPr>
      <w:r w:rsidRPr="0057618D">
        <w:rPr>
          <w:b/>
          <w:bCs/>
          <w:sz w:val="32"/>
          <w:szCs w:val="32"/>
        </w:rPr>
        <w:t>7. Five-minute rollback (one command, tested on schedule, runbook)</w:t>
      </w:r>
    </w:p>
    <w:p w14:paraId="486ED11C" w14:textId="2787BB29" w:rsidR="00BF4FC9" w:rsidRDefault="00BF4FC9" w:rsidP="00BF4FC9">
      <w:r>
        <w:t xml:space="preserve">Verdict: </w:t>
      </w:r>
      <w:r w:rsidR="0057618D" w:rsidRPr="0057618D">
        <w:rPr>
          <w:color w:val="EE0000"/>
        </w:rPr>
        <w:t>F</w:t>
      </w:r>
      <w:r w:rsidRPr="0057618D">
        <w:rPr>
          <w:color w:val="EE0000"/>
        </w:rPr>
        <w:t>ully</w:t>
      </w:r>
    </w:p>
    <w:p w14:paraId="5E58EC92" w14:textId="77777777" w:rsidR="00BF4FC9" w:rsidRDefault="00BF4FC9" w:rsidP="00BF4FC9">
      <w:r>
        <w:t>Runbook explicitly targets ≤ 5 minutes RTO; rollback API/scripts and rollback-drill-</w:t>
      </w:r>
      <w:proofErr w:type="spellStart"/>
      <w:proofErr w:type="gramStart"/>
      <w:r>
        <w:t>cronjob.yaml</w:t>
      </w:r>
      <w:proofErr w:type="spellEnd"/>
      <w:proofErr w:type="gramEnd"/>
      <w:r>
        <w:t xml:space="preserve"> (scheduled drill) are present under model-rollback-package.</w:t>
      </w:r>
    </w:p>
    <w:p w14:paraId="0468C62B" w14:textId="77777777" w:rsidR="00BF4FC9" w:rsidRDefault="00BF4FC9" w:rsidP="00BF4FC9"/>
    <w:p w14:paraId="14788F3C" w14:textId="77777777" w:rsidR="00BF4FC9" w:rsidRPr="0057618D" w:rsidRDefault="00BF4FC9" w:rsidP="00BF4FC9">
      <w:pPr>
        <w:rPr>
          <w:b/>
          <w:bCs/>
          <w:sz w:val="32"/>
          <w:szCs w:val="32"/>
        </w:rPr>
      </w:pPr>
      <w:r w:rsidRPr="0057618D">
        <w:rPr>
          <w:b/>
          <w:bCs/>
          <w:sz w:val="32"/>
          <w:szCs w:val="32"/>
        </w:rPr>
        <w:t>8. Edge AI on K3s (quantized, resource limits, same interface as central)</w:t>
      </w:r>
    </w:p>
    <w:p w14:paraId="701B9D60" w14:textId="0236C715" w:rsidR="00BF4FC9" w:rsidRDefault="00BF4FC9" w:rsidP="00BF4FC9">
      <w:r>
        <w:t xml:space="preserve">Verdict: </w:t>
      </w:r>
      <w:r w:rsidR="0057618D" w:rsidRPr="0057618D">
        <w:rPr>
          <w:color w:val="EE0000"/>
        </w:rPr>
        <w:t>P</w:t>
      </w:r>
      <w:r w:rsidRPr="0057618D">
        <w:rPr>
          <w:color w:val="EE0000"/>
        </w:rPr>
        <w:t>artial</w:t>
      </w:r>
    </w:p>
    <w:p w14:paraId="10BC280C" w14:textId="77777777" w:rsidR="00BF4FC9" w:rsidRDefault="00BF4FC9" w:rsidP="00BF4FC9">
      <w:r>
        <w:t xml:space="preserve">Quantized </w:t>
      </w:r>
      <w:proofErr w:type="spellStart"/>
      <w:r>
        <w:t>TorchScript</w:t>
      </w:r>
      <w:proofErr w:type="spellEnd"/>
      <w:r>
        <w:t>, K3s manifests + Helm, CPU/RAM limits, telemetry, and parity-style gating are delivered in edge-ai-k3s-final.</w:t>
      </w:r>
    </w:p>
    <w:p w14:paraId="1D590E22" w14:textId="77777777" w:rsidR="00BF4FC9" w:rsidRDefault="00BF4FC9" w:rsidP="00BF4FC9">
      <w:r>
        <w:t xml:space="preserve">The HTTP JSON contract differs from the Kafka </w:t>
      </w:r>
      <w:proofErr w:type="spellStart"/>
      <w:r>
        <w:t>ModelOutput</w:t>
      </w:r>
      <w:proofErr w:type="spellEnd"/>
      <w:r>
        <w:t xml:space="preserve"> shape (e.g. </w:t>
      </w:r>
      <w:proofErr w:type="spellStart"/>
      <w:r>
        <w:t>top_k</w:t>
      </w:r>
      <w:proofErr w:type="spellEnd"/>
      <w:r>
        <w:t xml:space="preserve"> vs full </w:t>
      </w:r>
      <w:proofErr w:type="spellStart"/>
      <w:r>
        <w:t>class_probabilities</w:t>
      </w:r>
      <w:proofErr w:type="spellEnd"/>
      <w:r>
        <w:t xml:space="preserve"> </w:t>
      </w:r>
      <w:proofErr w:type="spellStart"/>
      <w:r>
        <w:t>dict</w:t>
      </w:r>
      <w:proofErr w:type="spellEnd"/>
      <w:r>
        <w:t>), so “same interface contract as central” is conceptually aligned in README terms but not a byte-for-byte identical schema across central Kafka vs edge HTTP.</w:t>
      </w:r>
    </w:p>
    <w:p w14:paraId="1CF03506" w14:textId="77777777" w:rsidR="00BF4FC9" w:rsidRDefault="00BF4FC9" w:rsidP="00BF4FC9"/>
    <w:p w14:paraId="7C7FE38C" w14:textId="77777777" w:rsidR="00BF4FC9" w:rsidRPr="0057618D" w:rsidRDefault="00BF4FC9" w:rsidP="00BF4FC9">
      <w:pPr>
        <w:rPr>
          <w:b/>
          <w:bCs/>
          <w:sz w:val="32"/>
          <w:szCs w:val="32"/>
        </w:rPr>
      </w:pPr>
      <w:r w:rsidRPr="0057618D">
        <w:rPr>
          <w:b/>
          <w:bCs/>
          <w:sz w:val="32"/>
          <w:szCs w:val="32"/>
        </w:rPr>
        <w:t>9. Auto-scaling on Kafka backlog (KEDA / adapter, min/max, cooldown)</w:t>
      </w:r>
    </w:p>
    <w:p w14:paraId="0975E3E4" w14:textId="40B9420C" w:rsidR="00BF4FC9" w:rsidRDefault="00BF4FC9" w:rsidP="00BF4FC9">
      <w:r>
        <w:t xml:space="preserve">Verdict: </w:t>
      </w:r>
      <w:r w:rsidR="0057618D" w:rsidRPr="0057618D">
        <w:rPr>
          <w:color w:val="EE0000"/>
        </w:rPr>
        <w:t>F</w:t>
      </w:r>
      <w:r w:rsidRPr="0057618D">
        <w:rPr>
          <w:color w:val="EE0000"/>
        </w:rPr>
        <w:t>ully</w:t>
      </w:r>
    </w:p>
    <w:p w14:paraId="0AB45947" w14:textId="77777777" w:rsidR="00BF4FC9" w:rsidRDefault="00BF4FC9" w:rsidP="00BF4FC9">
      <w:proofErr w:type="spellStart"/>
      <w:r>
        <w:lastRenderedPageBreak/>
        <w:t>autoscale_kafka_lag_layer</w:t>
      </w:r>
      <w:proofErr w:type="spellEnd"/>
      <w:r>
        <w:t xml:space="preserve"> documents KEDA </w:t>
      </w:r>
      <w:proofErr w:type="spellStart"/>
      <w:r>
        <w:t>ScaledObject</w:t>
      </w:r>
      <w:proofErr w:type="spellEnd"/>
      <w:r>
        <w:t>, lag-driven policy, min/max replicas, hysteresis, HPA rate limits, 5-minute downscale stabilization, and optional Prometheus Adapter path.</w:t>
      </w:r>
    </w:p>
    <w:p w14:paraId="760900EF" w14:textId="77777777" w:rsidR="00BF4FC9" w:rsidRDefault="00BF4FC9" w:rsidP="00BF4FC9"/>
    <w:p w14:paraId="43D1BC27" w14:textId="77777777" w:rsidR="00BF4FC9" w:rsidRPr="0057618D" w:rsidRDefault="00BF4FC9" w:rsidP="00BF4FC9">
      <w:pPr>
        <w:rPr>
          <w:b/>
          <w:bCs/>
          <w:sz w:val="32"/>
          <w:szCs w:val="32"/>
        </w:rPr>
      </w:pPr>
      <w:r w:rsidRPr="0057618D">
        <w:rPr>
          <w:b/>
          <w:bCs/>
          <w:sz w:val="32"/>
          <w:szCs w:val="32"/>
        </w:rPr>
        <w:t>10. Model swap test (automated swap, downstream safety, schema registry)</w:t>
      </w:r>
    </w:p>
    <w:p w14:paraId="146E70E0" w14:textId="6E7C35C1" w:rsidR="00BF4FC9" w:rsidRDefault="00BF4FC9" w:rsidP="00BF4FC9">
      <w:r>
        <w:t xml:space="preserve">Verdict: </w:t>
      </w:r>
      <w:r w:rsidR="0057618D" w:rsidRPr="0057618D">
        <w:rPr>
          <w:color w:val="EE0000"/>
        </w:rPr>
        <w:t>F</w:t>
      </w:r>
      <w:r w:rsidRPr="0057618D">
        <w:rPr>
          <w:color w:val="EE0000"/>
        </w:rPr>
        <w:t>ully</w:t>
      </w:r>
    </w:p>
    <w:p w14:paraId="6BECEBEF" w14:textId="77777777" w:rsidR="00BF4FC9" w:rsidRDefault="00BF4FC9" w:rsidP="00BF4FC9">
      <w:r>
        <w:t>model-swap-acceptance-package describes exactly: deploy A, replay, swap to B, replay, structural compare, consumer health checks, Schema Registry compatibility (Confluent/</w:t>
      </w:r>
      <w:proofErr w:type="spellStart"/>
      <w:r>
        <w:t>Apicurio</w:t>
      </w:r>
      <w:proofErr w:type="spellEnd"/>
      <w:r>
        <w:t xml:space="preserve"> </w:t>
      </w:r>
      <w:proofErr w:type="spellStart"/>
      <w:r>
        <w:t>ccompat</w:t>
      </w:r>
      <w:proofErr w:type="spellEnd"/>
      <w:r>
        <w:t>), signed reports, CI gate language.</w:t>
      </w:r>
    </w:p>
    <w:p w14:paraId="0C2BB35E" w14:textId="77777777" w:rsidR="00BF4FC9" w:rsidRDefault="00BF4FC9" w:rsidP="00BF4FC9"/>
    <w:p w14:paraId="7B241041" w14:textId="77777777" w:rsidR="00BF4FC9" w:rsidRPr="0057618D" w:rsidRDefault="00BF4FC9" w:rsidP="00BF4FC9">
      <w:pPr>
        <w:rPr>
          <w:b/>
          <w:bCs/>
          <w:sz w:val="32"/>
          <w:szCs w:val="32"/>
        </w:rPr>
      </w:pPr>
      <w:r w:rsidRPr="0057618D">
        <w:rPr>
          <w:b/>
          <w:bCs/>
          <w:sz w:val="32"/>
          <w:szCs w:val="32"/>
        </w:rPr>
        <w:t>11. Training data provenance (manifest, sources, license, classification, preprocessing, labeling, hash)</w:t>
      </w:r>
    </w:p>
    <w:p w14:paraId="104FEBAD" w14:textId="584DD7AD" w:rsidR="00BF4FC9" w:rsidRDefault="00BF4FC9" w:rsidP="00BF4FC9">
      <w:r>
        <w:t xml:space="preserve">Verdict: </w:t>
      </w:r>
      <w:r w:rsidR="0057618D" w:rsidRPr="0057618D">
        <w:rPr>
          <w:color w:val="EE0000"/>
        </w:rPr>
        <w:t>F</w:t>
      </w:r>
      <w:r w:rsidRPr="0057618D">
        <w:rPr>
          <w:color w:val="EE0000"/>
        </w:rPr>
        <w:t>ully</w:t>
      </w:r>
    </w:p>
    <w:p w14:paraId="3DD98396" w14:textId="65111786" w:rsidR="0023096F" w:rsidRDefault="00BF4FC9" w:rsidP="00BF4FC9">
      <w:proofErr w:type="spellStart"/>
      <w:r>
        <w:t>ai_data_provenance_layer</w:t>
      </w:r>
      <w:proofErr w:type="spellEnd"/>
      <w:r>
        <w:t xml:space="preserve"> README and design cover lineage, manifests, hashes, classification/license gates, approvals, k8s hardening, etc., as a standalone service/package — not automatically wired into every other layer’s release button, but the capability is implemented there.</w:t>
      </w:r>
    </w:p>
    <w:p w14:paraId="2F01CDC6" w14:textId="77777777" w:rsidR="004C165A" w:rsidRDefault="004C165A" w:rsidP="00BF4FC9"/>
    <w:p w14:paraId="796B39BE" w14:textId="77777777" w:rsidR="004C165A" w:rsidRDefault="004C165A" w:rsidP="00BF4FC9"/>
    <w:sectPr w:rsidR="004C165A" w:rsidSect="00BF4F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62"/>
    <w:rsid w:val="002051B7"/>
    <w:rsid w:val="0023096F"/>
    <w:rsid w:val="002B6163"/>
    <w:rsid w:val="003A3D67"/>
    <w:rsid w:val="004C165A"/>
    <w:rsid w:val="0057618D"/>
    <w:rsid w:val="00991462"/>
    <w:rsid w:val="00BA011E"/>
    <w:rsid w:val="00BF4FC9"/>
    <w:rsid w:val="00CB0BE1"/>
    <w:rsid w:val="00CE5477"/>
    <w:rsid w:val="00F7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E6B9"/>
  <w15:chartTrackingRefBased/>
  <w15:docId w15:val="{7712A766-72D8-4CE1-8F69-1C33247A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4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4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4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4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4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4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4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4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4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4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7</cp:revision>
  <cp:lastPrinted>2026-04-13T12:42:00Z</cp:lastPrinted>
  <dcterms:created xsi:type="dcterms:W3CDTF">2026-04-13T05:54:00Z</dcterms:created>
  <dcterms:modified xsi:type="dcterms:W3CDTF">2026-04-13T13:50:00Z</dcterms:modified>
</cp:coreProperties>
</file>