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56"/>
        </w:rPr>
        <w:t>Institutional Markets Lab</w:t>
      </w:r>
    </w:p>
    <w:p>
      <w:pPr>
        <w:spacing w:line="252" w:lineRule="auto"/>
        <w:jc w:val="center"/>
      </w:pPr>
      <w:r>
        <w:rPr>
          <w:b/>
          <w:color w:val="505050"/>
          <w:sz w:val="32"/>
        </w:rPr>
        <w:t>Phase 0 Product Blueprint v0.1</w:t>
      </w:r>
    </w:p>
    <w:p>
      <w:pPr>
        <w:spacing w:after="360" w:line="252" w:lineRule="auto"/>
        <w:jc w:val="center"/>
      </w:pPr>
      <w:r>
        <w:rPr>
          <w:i/>
          <w:sz w:val="22"/>
        </w:rPr>
        <w:t>A professional product foundation for a long-term institutional markets workstation</w:t>
      </w:r>
    </w:p>
    <w:tbl>
      <w:tblPr>
        <w:tblW w:type="auto" w:w="0"/>
        <w:jc w:val="center"/>
        <w:tblLayout w:type="autofit"/>
        <w:tblLook w:firstColumn="1" w:firstRow="1" w:lastColumn="0" w:lastRow="0" w:noHBand="0" w:noVBand="1" w:val="04A0"/>
      </w:tblPr>
      <w:tblGrid>
        <w:gridCol w:w="10080"/>
      </w:tblGrid>
      <w:tr>
        <w:tc>
          <w:tcPr>
            <w:tcW w:type="dxa" w:w="10080"/>
            <w:shd w:fill="EAF4F8"/>
          </w:tcPr>
          <w:p>
            <w:pPr>
              <w:spacing w:after="60"/>
            </w:pPr>
            <w:r>
              <w:rPr>
                <w:b/>
                <w:color w:val="1F4E79"/>
                <w:sz w:val="22"/>
              </w:rPr>
              <w:t>Governing idea</w:t>
            </w:r>
          </w:p>
          <w:p>
            <w:pPr>
              <w:spacing w:after="0"/>
            </w:pPr>
            <w:r>
              <w:rPr>
                <w:sz w:val="20"/>
              </w:rPr>
              <w:t>Institutional Markets Lab is not a generic Python portfolio project, not a collection of unrelated notebooks, and not a retail trade signal system. It is a professional, modular institutional markets workstation designed to deepen derivatives-market understanding and demonstrate that understanding through thoughtful analytics, software engineering, and institutional thinking.</w:t>
            </w:r>
          </w:p>
        </w:tc>
      </w:tr>
    </w:tbl>
    <w:p>
      <w:pPr>
        <w:spacing w:before="280" w:line="252" w:lineRule="auto"/>
      </w:pPr>
      <w:r>
        <w:rPr>
          <w:b/>
        </w:rPr>
        <w:t>Document purpose</w:t>
      </w:r>
      <w:r>
        <w:t>: This blueprint captures the Phase 0 decisions that define the product before any code is written. It is intended to prevent standards drift, guide architecture, and keep the project aligned with the long-term goal of transitioning from customer analytics into institutional derivatives, volatility, and trading-adjacent roles.</w:t>
      </w:r>
    </w:p>
    <w:p>
      <w:pPr>
        <w:spacing w:line="252" w:lineRule="auto"/>
      </w:pPr>
      <w:r>
        <w:rPr>
          <w:b/>
        </w:rPr>
        <w:t xml:space="preserve">Prepared for: </w:t>
      </w:r>
      <w:r>
        <w:t>Mike Wenner</w:t>
      </w:r>
    </w:p>
    <w:p>
      <w:pPr>
        <w:spacing w:line="252" w:lineRule="auto"/>
      </w:pPr>
      <w:r>
        <w:rPr>
          <w:b/>
        </w:rPr>
        <w:t xml:space="preserve">Project context: </w:t>
      </w:r>
      <w:r>
        <w:t>Transition from Wells Fargo Customer Intelligence / data science into institutional markets, with particular interest in equity derivatives, index derivatives, volatility, VIX options, SPX options, market making, financing, and relative value.</w:t>
      </w:r>
    </w:p>
    <w:p>
      <w:pPr>
        <w:spacing w:after="120" w:line="252" w:lineRule="auto"/>
        <w:pBdr>
          <w:bottom w:val="single" w:sz="6" w:space="1" w:color="B7C9D6"/>
        </w:pBdr>
      </w:pPr>
    </w:p>
    <w:p>
      <w:pPr>
        <w:spacing w:after="60" w:line="252" w:lineRule="auto"/>
      </w:pPr>
      <w:r>
        <w:rPr>
          <w:b/>
          <w:sz w:val="28"/>
        </w:rPr>
        <w:t>Contents</w:t>
      </w:r>
    </w:p>
    <w:tbl>
      <w:tblPr>
        <w:tblW w:type="auto" w:w="0"/>
        <w:tblLayout w:type="autofit"/>
        <w:tblLook w:firstColumn="1" w:firstRow="1" w:lastColumn="0" w:lastRow="0" w:noHBand="0" w:noVBand="1" w:val="04A0"/>
      </w:tblPr>
      <w:tblGrid>
        <w:gridCol w:w="5040"/>
        <w:gridCol w:w="5040"/>
      </w:tblGrid>
      <w:tr>
        <w:tc>
          <w:tcPr>
            <w:tcW w:type="dxa" w:w="5040"/>
          </w:tcPr>
          <w:p>
            <w:pPr>
              <w:spacing w:after="0"/>
            </w:pPr>
            <w:r/>
            <w:r>
              <w:rPr>
                <w:sz w:val="19"/>
              </w:rPr>
              <w:t>1. Mission</w:t>
            </w:r>
          </w:p>
        </w:tc>
        <w:tc>
          <w:tcPr>
            <w:tcW w:type="dxa" w:w="5040"/>
          </w:tcPr>
          <w:p>
            <w:pPr>
              <w:spacing w:after="0"/>
            </w:pPr>
            <w:r/>
            <w:r>
              <w:rPr>
                <w:sz w:val="19"/>
              </w:rPr>
              <w:t>10. Module Map and One-Question Rule</w:t>
            </w:r>
          </w:p>
        </w:tc>
      </w:tr>
      <w:tr>
        <w:tc>
          <w:tcPr>
            <w:tcW w:type="dxa" w:w="5040"/>
          </w:tcPr>
          <w:p>
            <w:pPr>
              <w:spacing w:after="0"/>
            </w:pPr>
            <w:r/>
            <w:r>
              <w:rPr>
                <w:sz w:val="19"/>
              </w:rPr>
              <w:t>2. Vision</w:t>
            </w:r>
          </w:p>
        </w:tc>
        <w:tc>
          <w:tcPr>
            <w:tcW w:type="dxa" w:w="5040"/>
          </w:tcPr>
          <w:p>
            <w:pPr>
              <w:spacing w:after="0"/>
            </w:pPr>
            <w:r/>
            <w:r>
              <w:rPr>
                <w:sz w:val="19"/>
              </w:rPr>
              <w:t>11. Development Philosophy</w:t>
            </w:r>
          </w:p>
        </w:tc>
      </w:tr>
      <w:tr>
        <w:tc>
          <w:tcPr>
            <w:tcW w:type="dxa" w:w="5040"/>
          </w:tcPr>
          <w:p>
            <w:pPr>
              <w:spacing w:after="0"/>
            </w:pPr>
            <w:r/>
            <w:r>
              <w:rPr>
                <w:sz w:val="19"/>
              </w:rPr>
              <w:t>3. Product Identity</w:t>
            </w:r>
          </w:p>
        </w:tc>
        <w:tc>
          <w:tcPr>
            <w:tcW w:type="dxa" w:w="5040"/>
          </w:tcPr>
          <w:p>
            <w:pPr>
              <w:spacing w:after="0"/>
            </w:pPr>
            <w:r/>
            <w:r>
              <w:rPr>
                <w:sz w:val="19"/>
              </w:rPr>
              <w:t>12. Definition of Done</w:t>
            </w:r>
          </w:p>
        </w:tc>
      </w:tr>
      <w:tr>
        <w:tc>
          <w:tcPr>
            <w:tcW w:type="dxa" w:w="5040"/>
          </w:tcPr>
          <w:p>
            <w:pPr>
              <w:spacing w:after="0"/>
            </w:pPr>
            <w:r/>
            <w:r>
              <w:rPr>
                <w:sz w:val="19"/>
              </w:rPr>
              <w:t>4. Elevator Statement</w:t>
            </w:r>
          </w:p>
        </w:tc>
        <w:tc>
          <w:tcPr>
            <w:tcW w:type="dxa" w:w="5040"/>
          </w:tcPr>
          <w:p>
            <w:pPr>
              <w:spacing w:after="0"/>
            </w:pPr>
            <w:r/>
            <w:r>
              <w:rPr>
                <w:sz w:val="19"/>
              </w:rPr>
              <w:t>13. Repository and Architecture Direction</w:t>
            </w:r>
          </w:p>
        </w:tc>
      </w:tr>
      <w:tr>
        <w:tc>
          <w:tcPr>
            <w:tcW w:type="dxa" w:w="5040"/>
          </w:tcPr>
          <w:p>
            <w:pPr>
              <w:spacing w:after="0"/>
            </w:pPr>
            <w:r/>
            <w:r>
              <w:rPr>
                <w:sz w:val="19"/>
              </w:rPr>
              <w:t>5. North Star</w:t>
            </w:r>
          </w:p>
        </w:tc>
        <w:tc>
          <w:tcPr>
            <w:tcW w:type="dxa" w:w="5040"/>
          </w:tcPr>
          <w:p>
            <w:pPr>
              <w:spacing w:after="0"/>
            </w:pPr>
            <w:r/>
            <w:r>
              <w:rPr>
                <w:sz w:val="19"/>
              </w:rPr>
              <w:t>14. Data and Deployment Philosophy</w:t>
            </w:r>
          </w:p>
        </w:tc>
      </w:tr>
      <w:tr>
        <w:tc>
          <w:tcPr>
            <w:tcW w:type="dxa" w:w="5040"/>
          </w:tcPr>
          <w:p>
            <w:pPr>
              <w:spacing w:after="0"/>
            </w:pPr>
            <w:r/>
            <w:r>
              <w:rPr>
                <w:sz w:val="19"/>
              </w:rPr>
              <w:t>6. Target Users</w:t>
            </w:r>
          </w:p>
        </w:tc>
        <w:tc>
          <w:tcPr>
            <w:tcW w:type="dxa" w:w="5040"/>
          </w:tcPr>
          <w:p>
            <w:pPr>
              <w:spacing w:after="0"/>
            </w:pPr>
            <w:r/>
            <w:r>
              <w:rPr>
                <w:sz w:val="19"/>
              </w:rPr>
              <w:t>15. Institutional Test</w:t>
            </w:r>
          </w:p>
        </w:tc>
      </w:tr>
      <w:tr>
        <w:tc>
          <w:tcPr>
            <w:tcW w:type="dxa" w:w="5040"/>
          </w:tcPr>
          <w:p>
            <w:pPr>
              <w:spacing w:after="0"/>
            </w:pPr>
            <w:r/>
            <w:r>
              <w:rPr>
                <w:sz w:val="19"/>
              </w:rPr>
              <w:t>7. Core Design Principles</w:t>
            </w:r>
          </w:p>
        </w:tc>
        <w:tc>
          <w:tcPr>
            <w:tcW w:type="dxa" w:w="5040"/>
          </w:tcPr>
          <w:p>
            <w:pPr>
              <w:spacing w:after="0"/>
            </w:pPr>
            <w:r/>
            <w:r>
              <w:rPr>
                <w:sz w:val="19"/>
              </w:rPr>
              <w:t>16. Public Demonstration Standard</w:t>
            </w:r>
          </w:p>
        </w:tc>
      </w:tr>
      <w:tr>
        <w:tc>
          <w:tcPr>
            <w:tcW w:type="dxa" w:w="5040"/>
          </w:tcPr>
          <w:p>
            <w:pPr>
              <w:spacing w:after="0"/>
            </w:pPr>
            <w:r/>
            <w:r>
              <w:rPr>
                <w:sz w:val="19"/>
              </w:rPr>
              <w:t>8. Scope Boundaries</w:t>
            </w:r>
          </w:p>
        </w:tc>
        <w:tc>
          <w:tcPr>
            <w:tcW w:type="dxa" w:w="5040"/>
          </w:tcPr>
          <w:p>
            <w:pPr>
              <w:spacing w:after="0"/>
            </w:pPr>
            <w:r/>
            <w:r>
              <w:rPr>
                <w:sz w:val="19"/>
              </w:rPr>
              <w:t>17. Long-Term Success Criteria</w:t>
            </w:r>
          </w:p>
        </w:tc>
      </w:tr>
      <w:tr>
        <w:tc>
          <w:tcPr>
            <w:tcW w:type="dxa" w:w="5040"/>
          </w:tcPr>
          <w:p>
            <w:pPr>
              <w:spacing w:after="0"/>
            </w:pPr>
            <w:r/>
            <w:r>
              <w:rPr>
                <w:sz w:val="19"/>
              </w:rPr>
              <w:t>9. MVP Definition</w:t>
            </w:r>
          </w:p>
        </w:tc>
        <w:tc>
          <w:tcPr>
            <w:tcW w:type="dxa" w:w="5040"/>
          </w:tcPr>
          <w:p>
            <w:pPr>
              <w:spacing w:after="0"/>
            </w:pPr>
            <w:r/>
            <w:r>
              <w:rPr>
                <w:sz w:val="19"/>
              </w:rPr>
              <w:t>18. Phase 0 Lock-In</w:t>
            </w:r>
          </w:p>
        </w:tc>
      </w:tr>
    </w:tbl>
    <w:p>
      <w:pPr>
        <w:spacing w:line="252" w:lineRule="auto"/>
      </w:pPr>
      <w:r>
        <w:br w:type="page"/>
      </w:r>
    </w:p>
    <w:p>
      <w:pPr>
        <w:pStyle w:val="Heading1"/>
        <w:keepNext/>
        <w:spacing w:line="252" w:lineRule="auto"/>
      </w:pPr>
      <w:r>
        <w:t>1. Mission</w:t>
      </w:r>
    </w:p>
    <w:p>
      <w:pPr>
        <w:spacing w:after="120" w:line="252" w:lineRule="auto"/>
      </w:pPr>
      <w:r>
        <w:t>Institutional Markets Lab exists to accelerate the transition from customer analytics into institutional derivatives markets by building a professional analytics workstation that deepens understanding of how institutional market participants analyze volatility, options, financing, dealer positioning, market structure, and risk.</w:t>
      </w:r>
    </w:p>
    <w:p>
      <w:pPr>
        <w:spacing w:after="120" w:line="252" w:lineRule="auto"/>
      </w:pPr>
      <w:r>
        <w:t>The application is not intended to predict markets or generate trading signals. Its purpose is to organize, visualize, and explain the information that institutional traders, derivatives desks, volatility desks, hedge funds, market makers, and investment banks use to understand markets.</w:t>
      </w:r>
    </w:p>
    <w:p>
      <w:pPr>
        <w:pStyle w:val="BlueprintQuote"/>
        <w:spacing w:line="252" w:lineRule="auto"/>
      </w:pPr>
      <w:r>
        <w:t>The end goal is not simply to build software. The end goal is to become someone who deeply understands institutional derivatives markets while building software that reflects that understanding.</w:t>
      </w:r>
    </w:p>
    <w:p>
      <w:pPr>
        <w:pStyle w:val="Heading1"/>
        <w:keepNext/>
        <w:spacing w:line="252" w:lineRule="auto"/>
      </w:pPr>
      <w:r>
        <w:t>2. Vision</w:t>
      </w:r>
    </w:p>
    <w:p>
      <w:pPr>
        <w:spacing w:after="120" w:line="252" w:lineRule="auto"/>
      </w:pPr>
      <w:r>
        <w:t>Institutional Markets Lab should evolve over years into a professional software application that reflects increasing technical capability and increasing institutional market knowledge. It should become a living representation of the journey from customer analytics into institutional markets.</w:t>
      </w:r>
    </w:p>
    <w:p>
      <w:pPr>
        <w:pStyle w:val="ListBullet"/>
        <w:spacing w:after="40" w:line="252" w:lineRule="auto"/>
      </w:pPr>
      <w:r>
        <w:t>A daily market workstation for the user.</w:t>
      </w:r>
    </w:p>
    <w:p>
      <w:pPr>
        <w:pStyle w:val="ListBullet"/>
        <w:spacing w:after="40" w:line="252" w:lineRule="auto"/>
      </w:pPr>
      <w:r>
        <w:t>A long-term knowledge system for the future self.</w:t>
      </w:r>
    </w:p>
    <w:p>
      <w:pPr>
        <w:pStyle w:val="ListBullet"/>
        <w:spacing w:after="40" w:line="252" w:lineRule="auto"/>
      </w:pPr>
      <w:r>
        <w:t>A credible demonstration artifact for conversations with traders, mentors, hiring managers, and interviewers.</w:t>
      </w:r>
    </w:p>
    <w:p>
      <w:pPr>
        <w:pStyle w:val="ListBullet"/>
        <w:spacing w:after="40" w:line="252" w:lineRule="auto"/>
      </w:pPr>
      <w:r>
        <w:t>A modular analytics platform that grows as market understanding matures.</w:t>
      </w:r>
    </w:p>
    <w:p>
      <w:pPr>
        <w:spacing w:after="120" w:line="252" w:lineRule="auto"/>
      </w:pPr>
      <w:r>
        <w:t>The project should not be optimized for quick visual flash. It should be optimized for institutional credibility, depth, maintainability, and learning.</w:t>
      </w:r>
    </w:p>
    <w:p>
      <w:pPr>
        <w:pStyle w:val="Heading1"/>
        <w:keepNext/>
        <w:spacing w:line="252" w:lineRule="auto"/>
      </w:pPr>
      <w:r>
        <w:t>3. Product Identity</w:t>
      </w:r>
    </w:p>
    <w:tbl>
      <w:tblPr>
        <w:tblW w:type="auto" w:w="0"/>
        <w:jc w:val="center"/>
        <w:tblLayout w:type="autofit"/>
        <w:tblLook w:firstColumn="1" w:firstRow="1" w:lastColumn="0" w:lastRow="0" w:noHBand="0" w:noVBand="1" w:val="04A0"/>
      </w:tblPr>
      <w:tblGrid>
        <w:gridCol w:w="10080"/>
      </w:tblGrid>
      <w:tr>
        <w:tc>
          <w:tcPr>
            <w:tcW w:type="dxa" w:w="10080"/>
            <w:shd w:fill="EDF7ED"/>
          </w:tcPr>
          <w:p>
            <w:pPr>
              <w:spacing w:after="60"/>
            </w:pPr>
            <w:r>
              <w:rPr>
                <w:b/>
                <w:color w:val="1F4E79"/>
                <w:sz w:val="22"/>
              </w:rPr>
              <w:t>Locked decision</w:t>
            </w:r>
          </w:p>
          <w:p>
            <w:pPr>
              <w:spacing w:after="0"/>
            </w:pPr>
            <w:r>
              <w:rPr>
                <w:sz w:val="20"/>
              </w:rPr>
              <w:t>Institutional Markets Lab is primarily an institutional markets workstation. The dashboard, research workflow, analytics modules, and Learning Journal all support that central identity.</w:t>
            </w:r>
          </w:p>
        </w:tc>
      </w:tr>
    </w:tbl>
    <w:p>
      <w:pPr>
        <w:spacing w:after="120" w:line="252" w:lineRule="auto"/>
      </w:pPr>
      <w:r>
        <w:t>The product is not primarily a dashboard, notebook collection, tutorial, portfolio project, or trading system. It is a professional institutional workstation whose capabilities include market monitoring, analytics, visualization, education, and research.</w:t>
      </w:r>
    </w:p>
    <w:p>
      <w:pPr>
        <w:spacing w:after="120" w:line="252" w:lineRule="auto"/>
      </w:pPr>
      <w:r>
        <w:t>This distinction matters because it prevents the project from becoming a collection of unrelated tabs. The modules should work together as parts of one coherent workstation.</w:t>
      </w:r>
    </w:p>
    <w:p>
      <w:pPr>
        <w:pStyle w:val="Heading1"/>
        <w:keepNext/>
        <w:spacing w:line="252" w:lineRule="auto"/>
      </w:pPr>
      <w:r>
        <w:t>4. Elevator Statement</w:t>
      </w:r>
    </w:p>
    <w:p>
      <w:pPr>
        <w:spacing w:after="120" w:line="252" w:lineRule="auto"/>
      </w:pPr>
      <w:r>
        <w:t>This is the concise explanation to use with traders, mentors, hiring managers, or interviewers:</w:t>
      </w:r>
    </w:p>
    <w:p>
      <w:pPr>
        <w:pStyle w:val="BlueprintQuote"/>
        <w:spacing w:line="252" w:lineRule="auto"/>
      </w:pPr>
      <w:r>
        <w:t>Institutional Markets Lab is a modular institutional analytics workstation designed to help me understand how professional derivatives desks interpret markets. Each module focuses on a core domain—volatility, options, dealer positioning, financing, market intelligence—and together they provide a cohesive view of institutional market structure. The application doubles as my long-term learning and research platform, where every analytic is grounded in financial theory and practical market usage.</w:t>
      </w:r>
    </w:p>
    <w:p>
      <w:pPr>
        <w:spacing w:after="120" w:line="252" w:lineRule="auto"/>
      </w:pPr>
      <w:r>
        <w:t>This statement should be treated as the product narrative. The project should never be described merely as a Streamlit app with several tabs.</w:t>
      </w:r>
    </w:p>
    <w:p>
      <w:pPr>
        <w:pStyle w:val="Heading1"/>
        <w:keepNext/>
        <w:spacing w:line="252" w:lineRule="auto"/>
      </w:pPr>
      <w:r>
        <w:t>5. North Star</w:t>
      </w:r>
    </w:p>
    <w:p>
      <w:pPr>
        <w:pStyle w:val="BlueprintQuote"/>
        <w:spacing w:line="252" w:lineRule="auto"/>
      </w:pPr>
      <w:r>
        <w:t>Build a professional institutional markets workstation that simultaneously improves my understanding of derivatives markets and demonstrates that understanding through thoughtful analytics, software engineering, and institutional thinking.</w:t>
      </w:r>
    </w:p>
    <w:p>
      <w:pPr>
        <w:spacing w:after="120" w:line="252" w:lineRule="auto"/>
      </w:pPr>
      <w:r>
        <w:t>Every feature should move the project toward this objective. Features that are technically interesting but not institutionally relevant should be deferred or rejected.</w:t>
      </w:r>
    </w:p>
    <w:p>
      <w:pPr>
        <w:pStyle w:val="Heading1"/>
        <w:keepNext/>
        <w:spacing w:line="252" w:lineRule="auto"/>
      </w:pPr>
      <w:r>
        <w:t>6. Target Users</w:t>
      </w:r>
    </w:p>
    <w:p>
      <w:pPr>
        <w:spacing w:after="120" w:line="252" w:lineRule="auto"/>
      </w:pPr>
      <w:r>
        <w:t>The application has four users. The initial focus is the primary user, but the long-term design should anticipate external visibility sooner rather than later.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r/>
            <w:r>
              <w:rPr>
                <w:b/>
                <w:sz w:val="19"/>
              </w:rPr>
              <w:t>User</w:t>
            </w:r>
          </w:p>
        </w:tc>
        <w:tc>
          <w:tcPr>
            <w:tcW w:type="dxa" w:w="3360"/>
            <w:vAlign w:val="top"/>
            <w:shd w:fill="D9EAF7"/>
          </w:tcPr>
          <w:p>
            <w:r/>
            <w:r>
              <w:rPr>
                <w:b/>
                <w:sz w:val="19"/>
              </w:rPr>
              <w:t>Role</w:t>
            </w:r>
          </w:p>
        </w:tc>
        <w:tc>
          <w:tcPr>
            <w:tcW w:type="dxa" w:w="3360"/>
            <w:vAlign w:val="top"/>
            <w:shd w:fill="D9EAF7"/>
          </w:tcPr>
          <w:p>
            <w:r/>
            <w:r>
              <w:rPr>
                <w:b/>
                <w:sz w:val="19"/>
              </w:rPr>
              <w:t>What They Need</w:t>
            </w:r>
          </w:p>
        </w:tc>
      </w:tr>
      <w:tr>
        <w:tc>
          <w:tcPr>
            <w:tcW w:type="dxa" w:w="3360"/>
            <w:vAlign w:val="top"/>
          </w:tcPr>
          <w:p>
            <w:r/>
            <w:r>
              <w:rPr>
                <w:b w:val="0"/>
                <w:sz w:val="19"/>
              </w:rPr>
              <w:t>Primary user</w:t>
            </w:r>
          </w:p>
        </w:tc>
        <w:tc>
          <w:tcPr>
            <w:tcW w:type="dxa" w:w="3360"/>
            <w:vAlign w:val="top"/>
          </w:tcPr>
          <w:p>
            <w:r/>
            <w:r>
              <w:rPr>
                <w:b w:val="0"/>
                <w:sz w:val="19"/>
              </w:rPr>
              <w:t>Mike</w:t>
            </w:r>
          </w:p>
        </w:tc>
        <w:tc>
          <w:tcPr>
            <w:tcW w:type="dxa" w:w="3360"/>
            <w:vAlign w:val="top"/>
          </w:tcPr>
          <w:p>
            <w:r/>
            <w:r>
              <w:rPr>
                <w:b w:val="0"/>
                <w:sz w:val="19"/>
              </w:rPr>
              <w:t>A daily institutional market workstation that supports learning and career transition.</w:t>
            </w:r>
          </w:p>
        </w:tc>
      </w:tr>
      <w:tr>
        <w:tc>
          <w:tcPr>
            <w:tcW w:type="dxa" w:w="3360"/>
            <w:vAlign w:val="top"/>
          </w:tcPr>
          <w:p>
            <w:r/>
            <w:r>
              <w:rPr>
                <w:b w:val="0"/>
                <w:sz w:val="19"/>
              </w:rPr>
              <w:t>Future self</w:t>
            </w:r>
          </w:p>
        </w:tc>
        <w:tc>
          <w:tcPr>
            <w:tcW w:type="dxa" w:w="3360"/>
            <w:vAlign w:val="top"/>
          </w:tcPr>
          <w:p>
            <w:r/>
            <w:r>
              <w:rPr>
                <w:b w:val="0"/>
                <w:sz w:val="19"/>
              </w:rPr>
              <w:t>Long-term learner</w:t>
            </w:r>
          </w:p>
        </w:tc>
        <w:tc>
          <w:tcPr>
            <w:tcW w:type="dxa" w:w="3360"/>
            <w:vAlign w:val="top"/>
          </w:tcPr>
          <w:p>
            <w:r/>
            <w:r>
              <w:rPr>
                <w:b w:val="0"/>
                <w:sz w:val="19"/>
              </w:rPr>
              <w:t>A durable record of accumulated institutional markets knowledge and software decisions.</w:t>
            </w:r>
          </w:p>
        </w:tc>
      </w:tr>
      <w:tr>
        <w:tc>
          <w:tcPr>
            <w:tcW w:type="dxa" w:w="3360"/>
            <w:vAlign w:val="top"/>
          </w:tcPr>
          <w:p>
            <w:r/>
            <w:r>
              <w:rPr>
                <w:b w:val="0"/>
                <w:sz w:val="19"/>
              </w:rPr>
              <w:t>Interviewers / mentors / hiring managers</w:t>
            </w:r>
          </w:p>
        </w:tc>
        <w:tc>
          <w:tcPr>
            <w:tcW w:type="dxa" w:w="3360"/>
            <w:vAlign w:val="top"/>
          </w:tcPr>
          <w:p>
            <w:r/>
            <w:r>
              <w:rPr>
                <w:b w:val="0"/>
                <w:sz w:val="19"/>
              </w:rPr>
              <w:t>External evaluators</w:t>
            </w:r>
          </w:p>
        </w:tc>
        <w:tc>
          <w:tcPr>
            <w:tcW w:type="dxa" w:w="3360"/>
            <w:vAlign w:val="top"/>
          </w:tcPr>
          <w:p>
            <w:r/>
            <w:r>
              <w:rPr>
                <w:b w:val="0"/>
                <w:sz w:val="19"/>
              </w:rPr>
              <w:t>A credible demonstration of market understanding, analytical judgment, and software engineering discipline.</w:t>
            </w:r>
          </w:p>
        </w:tc>
      </w:tr>
      <w:tr>
        <w:tc>
          <w:tcPr>
            <w:tcW w:type="dxa" w:w="3360"/>
            <w:vAlign w:val="top"/>
          </w:tcPr>
          <w:p>
            <w:r/>
            <w:r>
              <w:rPr>
                <w:b w:val="0"/>
                <w:sz w:val="19"/>
              </w:rPr>
              <w:t>Institutional market professionals</w:t>
            </w:r>
          </w:p>
        </w:tc>
        <w:tc>
          <w:tcPr>
            <w:tcW w:type="dxa" w:w="3360"/>
            <w:vAlign w:val="top"/>
          </w:tcPr>
          <w:p>
            <w:r/>
            <w:r>
              <w:rPr>
                <w:b w:val="0"/>
                <w:sz w:val="19"/>
              </w:rPr>
              <w:t>Traders, quants, market makers, desk professionals</w:t>
            </w:r>
          </w:p>
        </w:tc>
        <w:tc>
          <w:tcPr>
            <w:tcW w:type="dxa" w:w="3360"/>
            <w:vAlign w:val="top"/>
          </w:tcPr>
          <w:p>
            <w:r/>
            <w:r>
              <w:rPr>
                <w:b w:val="0"/>
                <w:sz w:val="19"/>
              </w:rPr>
              <w:t>A polished tool that reflects real questions asked by derivatives, volatility, financing, and market-structure desks.</w:t>
            </w:r>
          </w:p>
        </w:tc>
      </w:tr>
    </w:tbl>
    <w:p>
      <w:pPr>
        <w:pStyle w:val="Heading1"/>
        <w:keepNext/>
        <w:spacing w:line="252" w:lineRule="auto"/>
      </w:pPr>
      <w:r>
        <w:t>7. Core Design Principles</w:t>
      </w:r>
    </w:p>
    <w:p>
      <w:pPr>
        <w:spacing w:after="60" w:line="252" w:lineRule="auto"/>
      </w:pPr>
      <w:r>
        <w:rPr>
          <w:b/>
          <w:color w:val="1F4E79"/>
        </w:rPr>
        <w:t xml:space="preserve">Institutional First: </w:t>
      </w:r>
      <w:r>
        <w:t>Every module and feature should answer why an institutional desk would care.</w:t>
      </w:r>
    </w:p>
    <w:p>
      <w:pPr>
        <w:spacing w:after="60" w:line="252" w:lineRule="auto"/>
      </w:pPr>
      <w:r>
        <w:rPr>
          <w:b/>
          <w:color w:val="1F4E79"/>
        </w:rPr>
        <w:t xml:space="preserve">Understanding Before Implementation: </w:t>
      </w:r>
      <w:r>
        <w:t>Financial theory and desk context come before code.</w:t>
      </w:r>
    </w:p>
    <w:p>
      <w:pPr>
        <w:spacing w:after="60" w:line="252" w:lineRule="auto"/>
      </w:pPr>
      <w:r>
        <w:rPr>
          <w:b/>
          <w:color w:val="1F4E79"/>
        </w:rPr>
        <w:t xml:space="preserve">Every Visualization Answers a Question: </w:t>
      </w:r>
      <w:r>
        <w:t>Charts exist to clarify market structure, risk, pricing, or context—not decoration.</w:t>
      </w:r>
    </w:p>
    <w:p>
      <w:pPr>
        <w:spacing w:after="60" w:line="252" w:lineRule="auto"/>
      </w:pPr>
      <w:r>
        <w:rPr>
          <w:b/>
          <w:color w:val="1F4E79"/>
        </w:rPr>
        <w:t xml:space="preserve">Explain Before You Calculate: </w:t>
      </w:r>
      <w:r>
        <w:t>Metrics should include intuition and institutional relevance, not only formulas.</w:t>
      </w:r>
    </w:p>
    <w:p>
      <w:pPr>
        <w:spacing w:after="60" w:line="252" w:lineRule="auto"/>
      </w:pPr>
      <w:r>
        <w:rPr>
          <w:b/>
          <w:color w:val="1F4E79"/>
        </w:rPr>
        <w:t xml:space="preserve">Learning Never Ends: </w:t>
      </w:r>
      <w:r>
        <w:t>The project is expected to mature over years as understanding deepens.</w:t>
      </w:r>
    </w:p>
    <w:p>
      <w:pPr>
        <w:spacing w:after="60" w:line="252" w:lineRule="auto"/>
      </w:pPr>
      <w:r>
        <w:rPr>
          <w:b/>
          <w:color w:val="1F4E79"/>
        </w:rPr>
        <w:t xml:space="preserve">Reuse Over Duplication: </w:t>
      </w:r>
      <w:r>
        <w:t>Shared data, analytics, and UI components should be preferred over page-specific duplication.</w:t>
      </w:r>
    </w:p>
    <w:p>
      <w:pPr>
        <w:spacing w:after="60" w:line="252" w:lineRule="auto"/>
      </w:pPr>
      <w:r>
        <w:rPr>
          <w:b/>
          <w:color w:val="1F4E79"/>
        </w:rPr>
        <w:t xml:space="preserve">Quality Over Quantity: </w:t>
      </w:r>
      <w:r>
        <w:t>One polished institutional module is better than several shallow ones.</w:t>
      </w:r>
    </w:p>
    <w:p>
      <w:pPr>
        <w:spacing w:after="60" w:line="252" w:lineRule="auto"/>
      </w:pPr>
      <w:r>
        <w:rPr>
          <w:b/>
          <w:color w:val="1F4E79"/>
        </w:rPr>
        <w:t xml:space="preserve">Professional Software Engineering: </w:t>
      </w:r>
      <w:r>
        <w:t>Use clean architecture, documentation, meaningful commits, modularity, and tests where appropriate.</w:t>
      </w:r>
    </w:p>
    <w:p>
      <w:pPr>
        <w:spacing w:after="60" w:line="252" w:lineRule="auto"/>
      </w:pPr>
      <w:r>
        <w:rPr>
          <w:b/>
          <w:color w:val="1F4E79"/>
        </w:rPr>
        <w:t xml:space="preserve">One Question Per Module: </w:t>
      </w:r>
      <w:r>
        <w:t>Each module exists to answer one primary institutional question.</w:t>
      </w:r>
    </w:p>
    <w:p>
      <w:pPr>
        <w:spacing w:after="60" w:line="252" w:lineRule="auto"/>
      </w:pPr>
      <w:r>
        <w:rPr>
          <w:b/>
          <w:color w:val="1F4E79"/>
        </w:rPr>
        <w:t xml:space="preserve">Depth Over Breadth: </w:t>
      </w:r>
      <w:r>
        <w:t>Favor mastery and credible detail over broad but superficial coverage.</w:t>
      </w:r>
    </w:p>
    <w:p>
      <w:pPr>
        <w:spacing w:after="60" w:line="252" w:lineRule="auto"/>
      </w:pPr>
      <w:r>
        <w:rPr>
          <w:b/>
          <w:color w:val="1F4E79"/>
        </w:rPr>
        <w:t xml:space="preserve">Progressive Sophistication: </w:t>
      </w:r>
      <w:r>
        <w:t>Modules should mature in stages, allowing the workstation to remain usable while sophistication increases.</w:t>
      </w:r>
    </w:p>
    <w:p>
      <w:pPr>
        <w:pStyle w:val="Heading1"/>
        <w:keepNext/>
        <w:spacing w:line="252" w:lineRule="auto"/>
      </w:pPr>
      <w:r>
        <w:t>8. Scope Boundaries</w:t>
      </w:r>
    </w:p>
    <w:p>
      <w:pPr>
        <w:pStyle w:val="Heading2"/>
        <w:keepNext/>
        <w:spacing w:line="252" w:lineRule="auto"/>
      </w:pPr>
      <w:r>
        <w:t>In Scope</w:t>
      </w:r>
    </w:p>
    <w:p>
      <w:pPr>
        <w:pStyle w:val="ListBullet"/>
        <w:spacing w:after="40" w:line="252" w:lineRule="auto"/>
      </w:pPr>
      <w:r>
        <w:t>Market analytics</w:t>
      </w:r>
    </w:p>
    <w:p>
      <w:pPr>
        <w:pStyle w:val="ListBullet"/>
        <w:spacing w:after="40" w:line="252" w:lineRule="auto"/>
      </w:pPr>
      <w:r>
        <w:t>Options analytics</w:t>
      </w:r>
    </w:p>
    <w:p>
      <w:pPr>
        <w:pStyle w:val="ListBullet"/>
        <w:spacing w:after="40" w:line="252" w:lineRule="auto"/>
      </w:pPr>
      <w:r>
        <w:t>Volatility and volatility regime analysis</w:t>
      </w:r>
    </w:p>
    <w:p>
      <w:pPr>
        <w:pStyle w:val="ListBullet"/>
        <w:spacing w:after="40" w:line="252" w:lineRule="auto"/>
      </w:pPr>
      <w:r>
        <w:t>Financing and implied funding</w:t>
      </w:r>
    </w:p>
    <w:p>
      <w:pPr>
        <w:pStyle w:val="ListBullet"/>
        <w:spacing w:after="40" w:line="252" w:lineRule="auto"/>
      </w:pPr>
      <w:r>
        <w:t>Treasury markets and rates context</w:t>
      </w:r>
    </w:p>
    <w:p>
      <w:pPr>
        <w:pStyle w:val="ListBullet"/>
        <w:spacing w:after="40" w:line="252" w:lineRule="auto"/>
      </w:pPr>
      <w:r>
        <w:t>Dealer positioning concepts</w:t>
      </w:r>
    </w:p>
    <w:p>
      <w:pPr>
        <w:pStyle w:val="ListBullet"/>
        <w:spacing w:after="40" w:line="252" w:lineRule="auto"/>
      </w:pPr>
      <w:r>
        <w:t>Institutional education and Learning Journal content</w:t>
      </w:r>
    </w:p>
    <w:p>
      <w:pPr>
        <w:pStyle w:val="ListBullet"/>
        <w:spacing w:after="40" w:line="252" w:lineRule="auto"/>
      </w:pPr>
      <w:r>
        <w:t>Interactive visualizations</w:t>
      </w:r>
    </w:p>
    <w:p>
      <w:pPr>
        <w:pStyle w:val="ListBullet"/>
        <w:spacing w:after="40" w:line="252" w:lineRule="auto"/>
      </w:pPr>
      <w:r>
        <w:t>Data engineering and reusable pipelines</w:t>
      </w:r>
    </w:p>
    <w:p>
      <w:pPr>
        <w:pStyle w:val="ListBullet"/>
        <w:spacing w:after="40" w:line="252" w:lineRule="auto"/>
      </w:pPr>
      <w:r>
        <w:t>Clean software architecture</w:t>
      </w:r>
    </w:p>
    <w:p>
      <w:pPr>
        <w:pStyle w:val="Heading2"/>
        <w:keepNext/>
        <w:spacing w:line="252" w:lineRule="auto"/>
      </w:pPr>
      <w:r>
        <w:t>Out of Scope</w:t>
      </w:r>
    </w:p>
    <w:p>
      <w:pPr>
        <w:pStyle w:val="ListBullet"/>
        <w:spacing w:after="40" w:line="252" w:lineRule="auto"/>
      </w:pPr>
      <w:r>
        <w:t>Buy/sell signals</w:t>
      </w:r>
    </w:p>
    <w:p>
      <w:pPr>
        <w:pStyle w:val="ListBullet"/>
        <w:spacing w:after="40" w:line="252" w:lineRule="auto"/>
      </w:pPr>
      <w:r>
        <w:t>Retail technical analysis</w:t>
      </w:r>
    </w:p>
    <w:p>
      <w:pPr>
        <w:pStyle w:val="ListBullet"/>
        <w:spacing w:after="40" w:line="252" w:lineRule="auto"/>
      </w:pPr>
      <w:r>
        <w:t>Strategy optimization as the core product</w:t>
      </w:r>
    </w:p>
    <w:p>
      <w:pPr>
        <w:pStyle w:val="ListBullet"/>
        <w:spacing w:after="40" w:line="252" w:lineRule="auto"/>
      </w:pPr>
      <w:r>
        <w:t>Brokerage integration</w:t>
      </w:r>
    </w:p>
    <w:p>
      <w:pPr>
        <w:pStyle w:val="ListBullet"/>
        <w:spacing w:after="40" w:line="252" w:lineRule="auto"/>
      </w:pPr>
      <w:r>
        <w:t>Automated execution</w:t>
      </w:r>
    </w:p>
    <w:p>
      <w:pPr>
        <w:pStyle w:val="ListBullet"/>
        <w:spacing w:after="40" w:line="252" w:lineRule="auto"/>
      </w:pPr>
      <w:r>
        <w:t>AI prediction of tomorrow’s SPX or similar forecast-driven features</w:t>
      </w:r>
    </w:p>
    <w:p>
      <w:pPr>
        <w:spacing w:after="120" w:line="252" w:lineRule="auto"/>
      </w:pPr>
      <w:r>
        <w:t>This boundary is intentional. The project is about institutional understanding, not retail trading signals.</w:t>
      </w:r>
    </w:p>
    <w:p>
      <w:pPr>
        <w:pStyle w:val="Heading1"/>
        <w:keepNext/>
        <w:spacing w:line="252" w:lineRule="auto"/>
      </w:pPr>
      <w:r>
        <w:t>9. MVP Definition</w:t>
      </w:r>
    </w:p>
    <w:p>
      <w:pPr>
        <w:spacing w:after="120" w:line="252" w:lineRule="auto"/>
      </w:pPr>
      <w:r>
        <w:t>The MVP should be the smallest version that still feels like Institutional Markets Lab. It should establish the workstation identity without sacrificing quality for breadth.</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60"/>
            </w:pPr>
            <w:r>
              <w:rPr>
                <w:b/>
                <w:color w:val="1F4E79"/>
                <w:sz w:val="22"/>
              </w:rPr>
              <w:t>MVP locked decision</w:t>
            </w:r>
          </w:p>
          <w:p>
            <w:pPr>
              <w:spacing w:after="0"/>
            </w:pPr>
            <w:r>
              <w:rPr>
                <w:sz w:val="20"/>
              </w:rPr>
              <w:t>The first meaningful version will include a polished Home Dashboard, one fully realized Volatility module, and skeleton implementations for the remaining modules.</w:t>
            </w:r>
          </w:p>
        </w:tc>
      </w:tr>
    </w:tbl>
    <w:p>
      <w:pPr>
        <w:pStyle w:val="Heading2"/>
        <w:keepNext/>
        <w:spacing w:line="252" w:lineRule="auto"/>
      </w:pPr>
      <w:r>
        <w:t>MVP Components</w:t>
      </w:r>
    </w:p>
    <w:p>
      <w:pPr>
        <w:pStyle w:val="ListBullet"/>
        <w:spacing w:after="40" w:line="252" w:lineRule="auto"/>
      </w:pPr>
      <w:r>
        <w:t>Home Dashboard: a polished institutional market overview that can serve as a morning starting point.</w:t>
      </w:r>
    </w:p>
    <w:p>
      <w:pPr>
        <w:pStyle w:val="ListBullet"/>
        <w:spacing w:after="40" w:line="252" w:lineRule="auto"/>
      </w:pPr>
      <w:r>
        <w:t>Volatility Module: the first fully developed analytical module and the quality benchmark for the rest of the project.</w:t>
      </w:r>
    </w:p>
    <w:p>
      <w:pPr>
        <w:pStyle w:val="ListBullet"/>
        <w:spacing w:after="40" w:line="252" w:lineRule="auto"/>
      </w:pPr>
      <w:r>
        <w:t>Remaining Module Skeletons: navigation and planned functionality for SPX Options, Dealer Positioning, Financing, Market Intelligence, and Learning Journal.</w:t>
      </w:r>
    </w:p>
    <w:p>
      <w:pPr>
        <w:spacing w:after="120" w:line="252" w:lineRule="auto"/>
      </w:pPr>
      <w:r>
        <w:t>The Volatility module is the natural first major module because it connects directly to the user’s interest in volatility and the conversation with Saanvi, whose book focuses on VIX options.</w:t>
      </w:r>
    </w:p>
    <w:p>
      <w:pPr>
        <w:pStyle w:val="Heading1"/>
        <w:keepNext/>
        <w:spacing w:line="252" w:lineRule="auto"/>
      </w:pPr>
      <w:r>
        <w:t>10. Module Map and One-Question Rule</w:t>
      </w:r>
    </w:p>
    <w:p>
      <w:pPr>
        <w:spacing w:after="120" w:line="252" w:lineRule="auto"/>
      </w:pPr>
      <w:r>
        <w:t>Each module should have one primary institutional question. Features inside the module should support that question. If a proposed feature does not help answer the module question, it should either move elsewhere or be rejected.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r/>
            <w:r>
              <w:rPr>
                <w:b/>
                <w:sz w:val="19"/>
              </w:rPr>
              <w:t>Module</w:t>
            </w:r>
          </w:p>
        </w:tc>
        <w:tc>
          <w:tcPr>
            <w:tcW w:type="dxa" w:w="3360"/>
            <w:vAlign w:val="top"/>
            <w:shd w:fill="D9EAF7"/>
          </w:tcPr>
          <w:p>
            <w:r/>
            <w:r>
              <w:rPr>
                <w:b/>
                <w:sz w:val="19"/>
              </w:rPr>
              <w:t>Primary Institutional Question</w:t>
            </w:r>
          </w:p>
        </w:tc>
        <w:tc>
          <w:tcPr>
            <w:tcW w:type="dxa" w:w="3360"/>
            <w:vAlign w:val="top"/>
            <w:shd w:fill="D9EAF7"/>
          </w:tcPr>
          <w:p>
            <w:r/>
            <w:r>
              <w:rPr>
                <w:b/>
                <w:sz w:val="19"/>
              </w:rPr>
              <w:t>Initial Direction</w:t>
            </w:r>
          </w:p>
        </w:tc>
      </w:tr>
      <w:tr>
        <w:tc>
          <w:tcPr>
            <w:tcW w:type="dxa" w:w="3360"/>
            <w:vAlign w:val="top"/>
          </w:tcPr>
          <w:p>
            <w:r/>
            <w:r>
              <w:rPr>
                <w:b w:val="0"/>
                <w:sz w:val="19"/>
              </w:rPr>
              <w:t>Home</w:t>
            </w:r>
          </w:p>
        </w:tc>
        <w:tc>
          <w:tcPr>
            <w:tcW w:type="dxa" w:w="3360"/>
            <w:vAlign w:val="top"/>
          </w:tcPr>
          <w:p>
            <w:r/>
            <w:r>
              <w:rPr>
                <w:b w:val="0"/>
                <w:sz w:val="19"/>
              </w:rPr>
              <w:t>What is the current state of institutional markets?</w:t>
            </w:r>
          </w:p>
        </w:tc>
        <w:tc>
          <w:tcPr>
            <w:tcW w:type="dxa" w:w="3360"/>
            <w:vAlign w:val="top"/>
          </w:tcPr>
          <w:p>
            <w:r/>
            <w:r>
              <w:rPr>
                <w:b w:val="0"/>
                <w:sz w:val="19"/>
              </w:rPr>
              <w:t>SPX, VIX, VVIX, Treasury yields, SOFR, overnight futures, economic calendar, daily summary.</w:t>
            </w:r>
          </w:p>
        </w:tc>
      </w:tr>
      <w:tr>
        <w:tc>
          <w:tcPr>
            <w:tcW w:type="dxa" w:w="3360"/>
            <w:vAlign w:val="top"/>
          </w:tcPr>
          <w:p>
            <w:r/>
            <w:r>
              <w:rPr>
                <w:b w:val="0"/>
                <w:sz w:val="19"/>
              </w:rPr>
              <w:t>Volatility</w:t>
            </w:r>
          </w:p>
        </w:tc>
        <w:tc>
          <w:tcPr>
            <w:tcW w:type="dxa" w:w="3360"/>
            <w:vAlign w:val="top"/>
          </w:tcPr>
          <w:p>
            <w:r/>
            <w:r>
              <w:rPr>
                <w:b w:val="0"/>
                <w:sz w:val="19"/>
              </w:rPr>
              <w:t>What volatility regime are we in, and how is volatility being priced?</w:t>
            </w:r>
          </w:p>
        </w:tc>
        <w:tc>
          <w:tcPr>
            <w:tcW w:type="dxa" w:w="3360"/>
            <w:vAlign w:val="top"/>
          </w:tcPr>
          <w:p>
            <w:r/>
            <w:r>
              <w:rPr>
                <w:b w:val="0"/>
                <w:sz w:val="19"/>
              </w:rPr>
              <w:t>Current VIX, VVIX, realized volatility, VIX history, futures curve, contango/backwardation, percentiles, regime classification.</w:t>
            </w:r>
          </w:p>
        </w:tc>
      </w:tr>
      <w:tr>
        <w:tc>
          <w:tcPr>
            <w:tcW w:type="dxa" w:w="3360"/>
            <w:vAlign w:val="top"/>
          </w:tcPr>
          <w:p>
            <w:r/>
            <w:r>
              <w:rPr>
                <w:b w:val="0"/>
                <w:sz w:val="19"/>
              </w:rPr>
              <w:t>SPX Options</w:t>
            </w:r>
          </w:p>
        </w:tc>
        <w:tc>
          <w:tcPr>
            <w:tcW w:type="dxa" w:w="3360"/>
            <w:vAlign w:val="top"/>
          </w:tcPr>
          <w:p>
            <w:r/>
            <w:r>
              <w:rPr>
                <w:b w:val="0"/>
                <w:sz w:val="19"/>
              </w:rPr>
              <w:t>How is the options market pricing risk across strikes and expirations?</w:t>
            </w:r>
          </w:p>
        </w:tc>
        <w:tc>
          <w:tcPr>
            <w:tcW w:type="dxa" w:w="3360"/>
            <w:vAlign w:val="top"/>
          </w:tcPr>
          <w:p>
            <w:r/>
            <w:r>
              <w:rPr>
                <w:b w:val="0"/>
                <w:sz w:val="19"/>
              </w:rPr>
              <w:t>Vol surface, skew, term structure, open interest, volume, put/call ratios, Greeks, expiration profile.</w:t>
            </w:r>
          </w:p>
        </w:tc>
      </w:tr>
      <w:tr>
        <w:tc>
          <w:tcPr>
            <w:tcW w:type="dxa" w:w="3360"/>
            <w:vAlign w:val="top"/>
          </w:tcPr>
          <w:p>
            <w:r/>
            <w:r>
              <w:rPr>
                <w:b w:val="0"/>
                <w:sz w:val="19"/>
              </w:rPr>
              <w:t>Dealer Positioning</w:t>
            </w:r>
          </w:p>
        </w:tc>
        <w:tc>
          <w:tcPr>
            <w:tcW w:type="dxa" w:w="3360"/>
            <w:vAlign w:val="top"/>
          </w:tcPr>
          <w:p>
            <w:r/>
            <w:r>
              <w:rPr>
                <w:b w:val="0"/>
                <w:sz w:val="19"/>
              </w:rPr>
              <w:t>How might dealer inventory and hedging flows influence market behavior?</w:t>
            </w:r>
          </w:p>
        </w:tc>
        <w:tc>
          <w:tcPr>
            <w:tcW w:type="dxa" w:w="3360"/>
            <w:vAlign w:val="top"/>
          </w:tcPr>
          <w:p>
            <w:r/>
            <w:r>
              <w:rPr>
                <w:b w:val="0"/>
                <w:sz w:val="19"/>
              </w:rPr>
              <w:t>Gamma exposure, vanna, charm, zero gamma, max pain, hedging intuition, dealer-flow visualizations.</w:t>
            </w:r>
          </w:p>
        </w:tc>
      </w:tr>
      <w:tr>
        <w:tc>
          <w:tcPr>
            <w:tcW w:type="dxa" w:w="3360"/>
            <w:vAlign w:val="top"/>
          </w:tcPr>
          <w:p>
            <w:r/>
            <w:r>
              <w:rPr>
                <w:b w:val="0"/>
                <w:sz w:val="19"/>
              </w:rPr>
              <w:t>Financing</w:t>
            </w:r>
          </w:p>
        </w:tc>
        <w:tc>
          <w:tcPr>
            <w:tcW w:type="dxa" w:w="3360"/>
            <w:vAlign w:val="top"/>
          </w:tcPr>
          <w:p>
            <w:r/>
            <w:r>
              <w:rPr>
                <w:b w:val="0"/>
                <w:sz w:val="19"/>
              </w:rPr>
              <w:t>What do financing markets imply about funding conditions and relative value opportunities?</w:t>
            </w:r>
          </w:p>
        </w:tc>
        <w:tc>
          <w:tcPr>
            <w:tcW w:type="dxa" w:w="3360"/>
            <w:vAlign w:val="top"/>
          </w:tcPr>
          <w:p>
            <w:r/>
            <w:r>
              <w:rPr>
                <w:b w:val="0"/>
                <w:sz w:val="19"/>
              </w:rPr>
              <w:t>Put-call parity, box spreads, implied financing rates, SOFR, Treasury curve, repo, funding spreads.</w:t>
            </w:r>
          </w:p>
        </w:tc>
      </w:tr>
      <w:tr>
        <w:tc>
          <w:tcPr>
            <w:tcW w:type="dxa" w:w="3360"/>
            <w:vAlign w:val="top"/>
          </w:tcPr>
          <w:p>
            <w:r/>
            <w:r>
              <w:rPr>
                <w:b w:val="0"/>
                <w:sz w:val="19"/>
              </w:rPr>
              <w:t>Market Intelligence</w:t>
            </w:r>
          </w:p>
        </w:tc>
        <w:tc>
          <w:tcPr>
            <w:tcW w:type="dxa" w:w="3360"/>
            <w:vAlign w:val="top"/>
          </w:tcPr>
          <w:p>
            <w:r/>
            <w:r>
              <w:rPr>
                <w:b w:val="0"/>
                <w:sz w:val="19"/>
              </w:rPr>
              <w:t>What events matter today, and why do institutional desks care?</w:t>
            </w:r>
          </w:p>
        </w:tc>
        <w:tc>
          <w:tcPr>
            <w:tcW w:type="dxa" w:w="3360"/>
            <w:vAlign w:val="top"/>
          </w:tcPr>
          <w:p>
            <w:r/>
            <w:r>
              <w:rPr>
                <w:b w:val="0"/>
                <w:sz w:val="19"/>
              </w:rPr>
              <w:t>Overnight summary, CPI, FOMC, Treasury auctions, OPEX, earnings, expirations, market events.</w:t>
            </w:r>
          </w:p>
        </w:tc>
      </w:tr>
      <w:tr>
        <w:tc>
          <w:tcPr>
            <w:tcW w:type="dxa" w:w="3360"/>
            <w:vAlign w:val="top"/>
          </w:tcPr>
          <w:p>
            <w:r/>
            <w:r>
              <w:rPr>
                <w:b w:val="0"/>
                <w:sz w:val="19"/>
              </w:rPr>
              <w:t>Learning Journal</w:t>
            </w:r>
          </w:p>
        </w:tc>
        <w:tc>
          <w:tcPr>
            <w:tcW w:type="dxa" w:w="3360"/>
            <w:vAlign w:val="top"/>
          </w:tcPr>
          <w:p>
            <w:r/>
            <w:r>
              <w:rPr>
                <w:b w:val="0"/>
                <w:sz w:val="19"/>
              </w:rPr>
              <w:t>What institutional concepts do I need to master to think like a derivatives professional?</w:t>
            </w:r>
          </w:p>
        </w:tc>
        <w:tc>
          <w:tcPr>
            <w:tcW w:type="dxa" w:w="3360"/>
            <w:vAlign w:val="top"/>
          </w:tcPr>
          <w:p>
            <w:r/>
            <w:r>
              <w:rPr>
                <w:b w:val="0"/>
                <w:sz w:val="19"/>
              </w:rPr>
              <w:t>Concept entries with definition, intuition, institutional application, examples, visual explanation, references, and module links.</w:t>
            </w:r>
          </w:p>
        </w:tc>
      </w:tr>
    </w:tbl>
    <w:p>
      <w:pPr>
        <w:pStyle w:val="Heading1"/>
        <w:keepNext/>
        <w:spacing w:line="252" w:lineRule="auto"/>
      </w:pPr>
      <w:r>
        <w:t>11. Development Philosophy</w:t>
      </w:r>
    </w:p>
    <w:p>
      <w:pPr>
        <w:spacing w:after="120" w:line="252" w:lineRule="auto"/>
      </w:pPr>
      <w:r>
        <w:t>Coding should deliberately come after concept, context, design, and architecture. Each feature should follow this sequence:</w:t>
      </w:r>
    </w:p>
    <w:p>
      <w:pPr>
        <w:pStyle w:val="ListNumber"/>
        <w:spacing w:after="40" w:line="252" w:lineRule="auto"/>
      </w:pPr>
      <w:r>
        <w:t>Financial theory</w:t>
      </w:r>
    </w:p>
    <w:p>
      <w:pPr>
        <w:pStyle w:val="ListNumber"/>
        <w:spacing w:after="40" w:line="252" w:lineRule="auto"/>
      </w:pPr>
      <w:r>
        <w:t>Institutional context</w:t>
      </w:r>
    </w:p>
    <w:p>
      <w:pPr>
        <w:pStyle w:val="ListNumber"/>
        <w:spacing w:after="40" w:line="252" w:lineRule="auto"/>
      </w:pPr>
      <w:r>
        <w:t>Real-world desk usage</w:t>
      </w:r>
    </w:p>
    <w:p>
      <w:pPr>
        <w:pStyle w:val="ListNumber"/>
        <w:spacing w:after="40" w:line="252" w:lineRule="auto"/>
      </w:pPr>
      <w:r>
        <w:t>Data sources</w:t>
      </w:r>
    </w:p>
    <w:p>
      <w:pPr>
        <w:pStyle w:val="ListNumber"/>
        <w:spacing w:after="40" w:line="252" w:lineRule="auto"/>
      </w:pPr>
      <w:r>
        <w:t>UI design</w:t>
      </w:r>
    </w:p>
    <w:p>
      <w:pPr>
        <w:pStyle w:val="ListNumber"/>
        <w:spacing w:after="40" w:line="252" w:lineRule="auto"/>
      </w:pPr>
      <w:r>
        <w:t>Architecture</w:t>
      </w:r>
    </w:p>
    <w:p>
      <w:pPr>
        <w:pStyle w:val="ListNumber"/>
        <w:spacing w:after="40" w:line="252" w:lineRule="auto"/>
      </w:pPr>
      <w:r>
        <w:t>Incremental implementation</w:t>
      </w:r>
    </w:p>
    <w:p>
      <w:pPr>
        <w:pStyle w:val="ListNumber"/>
        <w:spacing w:after="40" w:line="252" w:lineRule="auto"/>
      </w:pPr>
      <w:r>
        <w:t>Documentation</w:t>
      </w:r>
    </w:p>
    <w:p>
      <w:pPr>
        <w:pStyle w:val="ListNumber"/>
        <w:spacing w:after="40" w:line="252" w:lineRule="auto"/>
      </w:pPr>
      <w:r>
        <w:t>Refactoring</w:t>
      </w:r>
    </w:p>
    <w:p>
      <w:pPr>
        <w:pStyle w:val="ListNumber"/>
        <w:spacing w:after="40" w:line="252" w:lineRule="auto"/>
      </w:pPr>
      <w:r>
        <w:t>Testing</w:t>
      </w:r>
    </w:p>
    <w:p>
      <w:pPr>
        <w:spacing w:after="120" w:line="252" w:lineRule="auto"/>
      </w:pPr>
      <w:r>
        <w:t>This keeps the project aligned with professional software practice and prevents premature coding.</w:t>
      </w:r>
    </w:p>
    <w:p>
      <w:pPr>
        <w:pStyle w:val="Heading1"/>
        <w:keepNext/>
        <w:spacing w:line="252" w:lineRule="auto"/>
      </w:pPr>
      <w:r>
        <w:t>12. Definition of Done</w:t>
      </w:r>
    </w:p>
    <w:p>
      <w:pPr>
        <w:spacing w:after="120" w:line="252" w:lineRule="auto"/>
      </w:pPr>
      <w:r>
        <w:t>A feature is not done merely because it runs. A feature is complete only when it has:</w:t>
      </w:r>
    </w:p>
    <w:p>
      <w:pPr>
        <w:pStyle w:val="ListBullet"/>
        <w:spacing w:after="40" w:line="252" w:lineRule="auto"/>
      </w:pPr>
      <w:r>
        <w:t>A clear institutional purpose</w:t>
      </w:r>
    </w:p>
    <w:p>
      <w:pPr>
        <w:pStyle w:val="ListBullet"/>
        <w:spacing w:after="40" w:line="252" w:lineRule="auto"/>
      </w:pPr>
      <w:r>
        <w:t>Reliable and understandable data</w:t>
      </w:r>
    </w:p>
    <w:p>
      <w:pPr>
        <w:pStyle w:val="ListBullet"/>
        <w:spacing w:after="40" w:line="252" w:lineRule="auto"/>
      </w:pPr>
      <w:r>
        <w:t>Professional UI and visual clarity</w:t>
      </w:r>
    </w:p>
    <w:p>
      <w:pPr>
        <w:pStyle w:val="ListBullet"/>
        <w:spacing w:after="40" w:line="252" w:lineRule="auto"/>
      </w:pPr>
      <w:r>
        <w:t>Clean architecture</w:t>
      </w:r>
    </w:p>
    <w:p>
      <w:pPr>
        <w:pStyle w:val="ListBullet"/>
        <w:spacing w:after="40" w:line="252" w:lineRule="auto"/>
      </w:pPr>
      <w:r>
        <w:t>Documentation</w:t>
      </w:r>
    </w:p>
    <w:p>
      <w:pPr>
        <w:pStyle w:val="ListBullet"/>
        <w:spacing w:after="40" w:line="252" w:lineRule="auto"/>
      </w:pPr>
      <w:r>
        <w:t>Learning content explaining the concept</w:t>
      </w:r>
    </w:p>
    <w:p>
      <w:pPr>
        <w:pStyle w:val="ListBullet"/>
        <w:spacing w:after="40" w:line="252" w:lineRule="auto"/>
      </w:pPr>
      <w:r>
        <w:t>Reusable code where appropriate</w:t>
      </w:r>
    </w:p>
    <w:p>
      <w:pPr>
        <w:pStyle w:val="ListBullet"/>
        <w:spacing w:after="40" w:line="252" w:lineRule="auto"/>
      </w:pPr>
      <w:r>
        <w:t>A clear rationale for why a professional derivatives trader, volatility desk, market maker, hedge fund, or investment bank would care</w:t>
      </w:r>
    </w:p>
    <w:p>
      <w:pPr>
        <w:spacing w:line="252" w:lineRule="auto"/>
      </w:pPr>
      <w:r>
        <w:br w:type="page"/>
      </w:r>
    </w:p>
    <w:p>
      <w:pPr>
        <w:pStyle w:val="Heading1"/>
        <w:keepNext/>
        <w:spacing w:line="252" w:lineRule="auto"/>
      </w:pPr>
      <w:r>
        <w:t>13. Repository and Architecture Direction</w:t>
      </w:r>
    </w:p>
    <w:p>
      <w:pPr>
        <w:spacing w:after="120" w:line="252" w:lineRule="auto"/>
      </w:pPr>
      <w:r>
        <w:t>The project should be structured as one application with multiple pages and shared analytics, data, and component layers—not as one top-level folder per tab.</w:t>
      </w:r>
    </w:p>
    <w:p>
      <w:pPr>
        <w:pStyle w:val="BlueprintQuote"/>
        <w:spacing w:line="252" w:lineRule="auto"/>
      </w:pPr>
      <w:r>
        <w:t>One application, multiple dashboard pages, shared analytics/data/component layers.</w:t>
      </w:r>
    </w:p>
    <w:p>
      <w:pPr>
        <w:spacing w:after="120" w:line="252" w:lineRule="auto"/>
      </w:pPr>
      <w:r>
        <w:t>Locked repository direction:</w:t>
      </w:r>
    </w:p>
    <w:p>
      <w:pPr>
        <w:spacing w:line="252" w:lineRule="auto"/>
      </w:pPr>
      <w:r>
        <w:rPr>
          <w:rFonts w:ascii="Courier New" w:hAnsi="Courier New" w:eastAsia="Courier New"/>
          <w:sz w:val="15"/>
        </w:rPr>
        <w:t>institutional-markets-lab/</w:t>
        <w:br/>
        <w:t>├── app.py</w:t>
        <w:br/>
        <w:t>├── pages/</w:t>
        <w:br/>
        <w:t>│   ├── home.py</w:t>
        <w:br/>
        <w:t>│   ├── volatility.py</w:t>
        <w:br/>
        <w:t>│   ├── spx_options.py</w:t>
        <w:br/>
        <w:t>│   ├── dealer_positioning.py</w:t>
        <w:br/>
        <w:t>│   ├── financing.py</w:t>
        <w:br/>
        <w:t>│   ├── market_intelligence.py</w:t>
        <w:br/>
        <w:t>│   └── learning_journal.py</w:t>
        <w:br/>
        <w:t>├── analytics/</w:t>
        <w:br/>
        <w:t>│   ├── volatility/</w:t>
        <w:br/>
        <w:t>│   ├── options/</w:t>
        <w:br/>
        <w:t>│   ├── dealer/</w:t>
        <w:br/>
        <w:t>│   ├── financing/</w:t>
        <w:br/>
        <w:t>│   └── common/</w:t>
        <w:br/>
        <w:t>├── data_sources/</w:t>
        <w:br/>
        <w:t>├── components/</w:t>
        <w:br/>
        <w:t>├── data/</w:t>
        <w:br/>
        <w:t>│   ├── raw/</w:t>
        <w:br/>
        <w:t>│   ├── processed/</w:t>
        <w:br/>
        <w:t>│   └── cache/</w:t>
        <w:br/>
        <w:t>├── research/</w:t>
        <w:br/>
        <w:t>├── learning/</w:t>
        <w:br/>
        <w:t>├── tests/</w:t>
        <w:br/>
        <w:t>├── docs/</w:t>
        <w:br/>
        <w:t>└── requirements.txt</w:t>
      </w:r>
    </w:p>
    <w:p>
      <w:pPr>
        <w:spacing w:after="120" w:line="252" w:lineRule="auto"/>
      </w:pPr>
      <w:r>
        <w:t>This structure keeps UI pages separate from analytics logic, data acquisition, reusable components, exploratory research, and learning documentation. It mirrors the way professional analytics platforms separate views, data, business logic, and reusable components.</w:t>
      </w:r>
    </w:p>
    <w:p>
      <w:pPr>
        <w:pStyle w:val="Heading1"/>
        <w:keepNext/>
        <w:spacing w:line="252" w:lineRule="auto"/>
      </w:pPr>
      <w:r>
        <w:t>14. Data and Deployment Philosophy</w:t>
      </w:r>
    </w:p>
    <w:p>
      <w:pPr>
        <w:pStyle w:val="Heading2"/>
        <w:keepNext/>
        <w:spacing w:line="252" w:lineRule="auto"/>
      </w:pPr>
      <w:r>
        <w:t>Data Philosophy</w:t>
      </w:r>
    </w:p>
    <w:p>
      <w:pPr>
        <w:pStyle w:val="ListBullet"/>
        <w:spacing w:after="40" w:line="252" w:lineRule="auto"/>
      </w:pPr>
      <w:r>
        <w:t>Start with public/free data where possible.</w:t>
      </w:r>
    </w:p>
    <w:p>
      <w:pPr>
        <w:pStyle w:val="ListBullet"/>
        <w:spacing w:after="40" w:line="252" w:lineRule="auto"/>
      </w:pPr>
      <w:r>
        <w:t>Separate data-fetching from analytics logic.</w:t>
      </w:r>
    </w:p>
    <w:p>
      <w:pPr>
        <w:pStyle w:val="ListBullet"/>
        <w:spacing w:after="40" w:line="252" w:lineRule="auto"/>
      </w:pPr>
      <w:r>
        <w:t>Cache responsibly to avoid unnecessary calls and improve app responsiveness.</w:t>
      </w:r>
    </w:p>
    <w:p>
      <w:pPr>
        <w:pStyle w:val="ListBullet"/>
        <w:spacing w:after="40" w:line="252" w:lineRule="auto"/>
      </w:pPr>
      <w:r>
        <w:t>Never commit API keys or secrets to GitHub.</w:t>
      </w:r>
    </w:p>
    <w:p>
      <w:pPr>
        <w:pStyle w:val="ListBullet"/>
        <w:spacing w:after="40" w:line="252" w:lineRule="auto"/>
      </w:pPr>
      <w:r>
        <w:t>Treat paid or restricted data as private and separate from the public demo version.</w:t>
      </w:r>
    </w:p>
    <w:p>
      <w:pPr>
        <w:pStyle w:val="Heading2"/>
        <w:keepNext/>
        <w:spacing w:line="252" w:lineRule="auto"/>
      </w:pPr>
      <w:r>
        <w:t>Deployment Philosophy</w:t>
      </w:r>
    </w:p>
    <w:p>
      <w:pPr>
        <w:spacing w:after="120" w:line="252" w:lineRule="auto"/>
      </w:pPr>
      <w:r>
        <w:t>The long-term goal is to publish a polished public Streamlit version that can be shared with traders, mentors, hiring managers, and interviewers. This should be designed from the beginning, but not rushed.</w:t>
      </w:r>
    </w:p>
    <w:p>
      <w:pPr>
        <w:pStyle w:val="ListBullet"/>
        <w:spacing w:after="40" w:line="252" w:lineRule="auto"/>
      </w:pPr>
      <w:r>
        <w:t>Public demo version: clean, safe, polished, explainable, and free of sensitive data or private notes.</w:t>
      </w:r>
    </w:p>
    <w:p>
      <w:pPr>
        <w:pStyle w:val="ListBullet"/>
        <w:spacing w:after="40" w:line="252" w:lineRule="auto"/>
      </w:pPr>
      <w:r>
        <w:t>Private research version: more experimental, potentially using paid APIs, rough notebooks, and personal learning notes.</w:t>
      </w:r>
    </w:p>
    <w:p>
      <w:pPr>
        <w:pStyle w:val="Heading1"/>
        <w:keepNext/>
        <w:spacing w:line="252" w:lineRule="auto"/>
      </w:pPr>
      <w:r>
        <w:t>15. Institutional Test</w:t>
      </w:r>
    </w:p>
    <w:p>
      <w:pPr>
        <w:spacing w:after="120" w:line="252" w:lineRule="auto"/>
      </w:pPr>
      <w:r>
        <w:t>Before any feature is added, it must pass the Institutional Test. If the answers are weak, the feature should not be built yet.</w:t>
      </w:r>
    </w:p>
    <w:p>
      <w:pPr>
        <w:spacing w:after="40" w:line="252" w:lineRule="auto"/>
        <w:ind w:left="360"/>
      </w:pPr>
      <w:r>
        <w:t>1. What institutional question does this answer?</w:t>
      </w:r>
    </w:p>
    <w:p>
      <w:pPr>
        <w:spacing w:after="40" w:line="252" w:lineRule="auto"/>
        <w:ind w:left="360"/>
      </w:pPr>
      <w:r>
        <w:t>2. Which desk would care?</w:t>
      </w:r>
    </w:p>
    <w:p>
      <w:pPr>
        <w:spacing w:after="40" w:line="252" w:lineRule="auto"/>
        <w:ind w:left="360"/>
      </w:pPr>
      <w:r>
        <w:t>3. How would that desk use this information?</w:t>
      </w:r>
    </w:p>
    <w:p>
      <w:pPr>
        <w:spacing w:after="40" w:line="252" w:lineRule="auto"/>
        <w:ind w:left="360"/>
      </w:pPr>
      <w:r>
        <w:t>4. Does this make the workstation better, or is it merely interesting?</w:t>
      </w:r>
    </w:p>
    <w:p>
      <w:pPr>
        <w:spacing w:after="120" w:line="252" w:lineRule="auto"/>
      </w:pPr>
      <w:r>
        <w:t>This decision framework is designed to prevent feature creep and preserve institutional focus.</w:t>
      </w:r>
    </w:p>
    <w:p>
      <w:pPr>
        <w:pStyle w:val="Heading1"/>
        <w:keepNext/>
        <w:spacing w:line="252" w:lineRule="auto"/>
      </w:pPr>
      <w:r>
        <w:t>16. Public Demonstration Standard</w:t>
      </w:r>
    </w:p>
    <w:p>
      <w:pPr>
        <w:spacing w:after="120" w:line="252" w:lineRule="auto"/>
      </w:pPr>
      <w:r>
        <w:t>The application should eventually be something that can be opened in a conversation with a trader, mentor, interviewer, or hiring manager. The standard is not perfection. The standard is credibility.</w:t>
      </w:r>
    </w:p>
    <w:p>
      <w:pPr>
        <w:pStyle w:val="BlueprintQuote"/>
        <w:spacing w:line="252" w:lineRule="auto"/>
      </w:pPr>
      <w:r>
        <w:t>A trader should be able to explore the application and think: This person understands the questions institutional derivatives desks are trying to answer and has built software around those questions.</w:t>
      </w:r>
    </w:p>
    <w:p>
      <w:pPr>
        <w:spacing w:after="120" w:line="252" w:lineRule="auto"/>
      </w:pPr>
      <w:r>
        <w:t>This has practical implications: polished UI, clear explanations, meaningful commit history, professional documentation, no exposed secrets, and no weak features added for visual flash.</w:t>
      </w:r>
    </w:p>
    <w:p>
      <w:pPr>
        <w:pStyle w:val="Heading1"/>
        <w:keepNext/>
        <w:spacing w:line="252" w:lineRule="auto"/>
      </w:pPr>
      <w:r>
        <w:t>17. Long-Term Success Criteria</w:t>
      </w:r>
    </w:p>
    <w:p>
      <w:pPr>
        <w:spacing w:after="120" w:line="252" w:lineRule="auto"/>
      </w:pPr>
      <w:r>
        <w:t>The project should be judged by more than whether it directly produces one specific job offer. Long-term success means the workstation:</w:t>
      </w:r>
    </w:p>
    <w:p>
      <w:pPr>
        <w:pStyle w:val="ListBullet"/>
        <w:spacing w:after="40" w:line="252" w:lineRule="auto"/>
      </w:pPr>
      <w:r>
        <w:t>Evolves into a polished institutional workstation.</w:t>
      </w:r>
    </w:p>
    <w:p>
      <w:pPr>
        <w:pStyle w:val="ListBullet"/>
        <w:spacing w:after="40" w:line="252" w:lineRule="auto"/>
      </w:pPr>
      <w:r>
        <w:t>Deepens understanding of derivatives, volatility, financing, and market structure.</w:t>
      </w:r>
    </w:p>
    <w:p>
      <w:pPr>
        <w:pStyle w:val="ListBullet"/>
        <w:spacing w:after="40" w:line="252" w:lineRule="auto"/>
      </w:pPr>
      <w:r>
        <w:t>Becomes a tool genuinely used by the user.</w:t>
      </w:r>
    </w:p>
    <w:p>
      <w:pPr>
        <w:pStyle w:val="ListBullet"/>
        <w:spacing w:after="40" w:line="252" w:lineRule="auto"/>
      </w:pPr>
      <w:r>
        <w:t>Builds confidence in conversations with traders and hiring managers.</w:t>
      </w:r>
    </w:p>
    <w:p>
      <w:pPr>
        <w:pStyle w:val="ListBullet"/>
        <w:spacing w:after="40" w:line="252" w:lineRule="auto"/>
      </w:pPr>
      <w:r>
        <w:t>Demonstrates disciplined software engineering.</w:t>
      </w:r>
    </w:p>
    <w:p>
      <w:pPr>
        <w:pStyle w:val="ListBullet"/>
        <w:spacing w:after="40" w:line="252" w:lineRule="auto"/>
      </w:pPr>
      <w:r>
        <w:t>Continues to grow as market knowledge grows.</w:t>
      </w:r>
    </w:p>
    <w:p>
      <w:pPr>
        <w:pStyle w:val="ListBullet"/>
        <w:spacing w:after="40" w:line="252" w:lineRule="auto"/>
      </w:pPr>
      <w:r>
        <w:t>Supports the career transition into Alex’s index derivatives team or a similar options, volatility, hedge fund, institutional, or trading-adjacent role.</w:t>
      </w:r>
    </w:p>
    <w:p>
      <w:pPr>
        <w:pStyle w:val="Heading1"/>
        <w:keepNext/>
        <w:spacing w:line="252" w:lineRule="auto"/>
      </w:pPr>
      <w:r>
        <w:t>18. Phase 0 Lock-In</w:t>
      </w:r>
    </w:p>
    <w:tbl>
      <w:tblPr>
        <w:tblW w:type="auto" w:w="0"/>
        <w:jc w:val="center"/>
        <w:tblLayout w:type="autofit"/>
        <w:tblLook w:firstColumn="1" w:firstRow="1" w:lastColumn="0" w:lastRow="0" w:noHBand="0" w:noVBand="1" w:val="04A0"/>
      </w:tblPr>
      <w:tblGrid>
        <w:gridCol w:w="10080"/>
      </w:tblGrid>
      <w:tr>
        <w:tc>
          <w:tcPr>
            <w:tcW w:type="dxa" w:w="10080"/>
            <w:shd w:fill="EDF7ED"/>
          </w:tcPr>
          <w:p>
            <w:pPr>
              <w:spacing w:after="60"/>
            </w:pPr>
            <w:r>
              <w:rPr>
                <w:b/>
                <w:color w:val="1F4E79"/>
                <w:sz w:val="22"/>
              </w:rPr>
              <w:t>Phase 0 status</w:t>
            </w:r>
          </w:p>
          <w:p>
            <w:pPr>
              <w:spacing w:after="0"/>
            </w:pPr>
            <w:r>
              <w:rPr>
                <w:sz w:val="20"/>
              </w:rPr>
              <w:t>Phase 0 is complete once this blueprint is accepted. Future work should use this document as the governing standard for product, architecture, scope, and quality decisions.</w:t>
            </w:r>
          </w:p>
        </w:tc>
      </w:tr>
    </w:tbl>
    <w:p>
      <w:pPr>
        <w:spacing w:after="120" w:line="252" w:lineRule="auto"/>
      </w:pPr>
      <w:r>
        <w:t>The project now has a clear mission, identity, target users, product story, design principles, MVP, module map, development process, definition of done, repository direction, deployment philosophy, and decision framework.</w:t>
      </w:r>
    </w:p>
    <w:p>
      <w:pPr>
        <w:spacing w:after="120" w:line="252" w:lineRule="auto"/>
      </w:pPr>
      <w:r>
        <w:t>From here, the next phase is Phase 1: Repository Foundation. The purpose of Phase 1 is to create the GitHub repository scaffold in a way that reflects the product standard defined here.</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Product constitution for a professional institutional markets workstation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Institutional Markets Lab | Phase 0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Quote">
    <w:name w:val="Blueprint Quote"/>
    <w:basedOn w:val="Normal"/>
    <w:pPr>
      <w:spacing w:before="120" w:after="120"/>
      <w:ind w:left="360" w:right="360"/>
    </w:pPr>
    <w:rPr>
      <w:i/>
      <w:color w:val="59595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