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28800" cy="316992"/>
            <wp:docPr id="1" name="Picture 1"/>
            <wp:cNvGraphicFramePr>
              <a:graphicFrameLocks noChangeAspect="1"/>
            </wp:cNvGraphicFramePr>
            <a:graphic>
              <a:graphicData uri="http://schemas.openxmlformats.org/drawingml/2006/picture">
                <pic:pic>
                  <pic:nvPicPr>
                    <pic:cNvPr id="0" name="sneferu-logo-document.png"/>
                    <pic:cNvPicPr/>
                  </pic:nvPicPr>
                  <pic:blipFill>
                    <a:blip r:embed="rId9"/>
                    <a:stretch>
                      <a:fillRect/>
                    </a:stretch>
                  </pic:blipFill>
                  <pic:spPr>
                    <a:xfrm>
                      <a:off x="0" y="0"/>
                      <a:ext cx="1828800" cy="316992"/>
                    </a:xfrm>
                    <a:prstGeom prst="rect"/>
                  </pic:spPr>
                </pic:pic>
              </a:graphicData>
            </a:graphic>
          </wp:inline>
        </w:drawing>
      </w:r>
    </w:p>
    <w:p>
      <w:pPr>
        <w:pStyle w:val="Title"/>
        <w:spacing w:before="0" w:after="20"/>
      </w:pPr>
      <w:r>
        <w:t>Sneferu and Fireworks AI</w:t>
      </w:r>
    </w:p>
    <w:p>
      <w:pPr>
        <w:spacing w:after="100"/>
      </w:pPr>
      <w:r>
        <w:rPr>
          <w:rFonts w:ascii="Arial" w:hAnsi="Arial"/>
          <w:b/>
          <w:color w:val="B3714B"/>
          <w:sz w:val="21"/>
        </w:rPr>
        <w:t>Production workload, startup program fit, and post-training opportunity</w:t>
      </w:r>
    </w:p>
    <w:p>
      <w:pPr>
        <w:spacing w:after="90" w:line="259" w:lineRule="auto"/>
      </w:pPr>
      <w:r>
        <w:rPr>
          <w:rFonts w:ascii="Arial" w:hAnsi="Arial"/>
          <w:color w:val="202124"/>
          <w:sz w:val="20"/>
        </w:rPr>
        <w:t>Fireworks already powers the majority of Sneferu's model work. Our immediate interest is the Fireworks for Startups program: build credits, higher limits, applied AI access, and product collaboration. The larger opportunity is a bounded post-training program built from evidence of how models actually fail and recover in production.</w:t>
      </w:r>
    </w:p>
    <w:p>
      <w:pPr>
        <w:keepNext/>
        <w:spacing w:before="120" w:after="50"/>
      </w:pPr>
      <w:r>
        <w:rPr>
          <w:rFonts w:ascii="Arial" w:hAnsi="Arial"/>
          <w:b/>
          <w:color w:val="000000"/>
          <w:sz w:val="20"/>
        </w:rPr>
        <w:t>What Sneferu is</w:t>
      </w:r>
    </w:p>
    <w:p>
      <w:pPr>
        <w:spacing w:after="70" w:line="254" w:lineRule="auto"/>
      </w:pPr>
      <w:r>
        <w:rPr>
          <w:rFonts w:ascii="Arial" w:hAnsi="Arial"/>
          <w:color w:val="202124"/>
          <w:sz w:val="19"/>
        </w:rPr>
        <w:t>Sneferu is a local-first, multi-model operating system for finished work. An operator gives it a goal; Sneferu turns that goal into a durable contract, assigns independent model lineages to create, attack, revise, score, implement, and review the work, then lets tests, runtime evidence, and human authority decide what can ship. The deliverable includes both the artifact and the receipts behind it.</w:t>
      </w:r>
    </w:p>
    <w:p>
      <w:pPr>
        <w:keepNext/>
        <w:spacing w:before="120" w:after="50"/>
      </w:pPr>
      <w:r>
        <w:rPr>
          <w:rFonts w:ascii="Arial" w:hAnsi="Arial"/>
          <w:b/>
          <w:color w:val="000000"/>
          <w:sz w:val="20"/>
        </w:rPr>
        <w:t>What is working now</w:t>
      </w:r>
    </w:p>
    <w:p>
      <w:pPr>
        <w:pStyle w:val="ListBullet"/>
        <w:spacing w:after="30" w:line="250" w:lineRule="auto"/>
        <w:ind w:left="259" w:hanging="202"/>
      </w:pPr>
      <w:r>
        <w:rPr>
          <w:rFonts w:ascii="Arial" w:hAnsi="Arial"/>
          <w:b/>
          <w:color w:val="202124"/>
          <w:sz w:val="19"/>
        </w:rPr>
        <w:t xml:space="preserve">Software On Demand. </w:t>
      </w:r>
      <w:r>
        <w:rPr>
          <w:rFonts w:ascii="Arial" w:hAnsi="Arial"/>
          <w:color w:val="202124"/>
          <w:sz w:val="19"/>
        </w:rPr>
        <w:t>A customer-facing service carries a plain-language request through idea selection when needed, an approved specification, build, qualification, isolated preview, customer acceptance, and exact delivery.</w:t>
      </w:r>
    </w:p>
    <w:p>
      <w:pPr>
        <w:pStyle w:val="ListBullet"/>
        <w:spacing w:after="30" w:line="250" w:lineRule="auto"/>
        <w:ind w:left="259" w:hanging="202"/>
      </w:pPr>
      <w:r>
        <w:rPr>
          <w:rFonts w:ascii="Arial" w:hAnsi="Arial"/>
          <w:b/>
          <w:color w:val="202124"/>
          <w:sz w:val="19"/>
        </w:rPr>
        <w:t xml:space="preserve">End-to-end production. </w:t>
      </w:r>
      <w:r>
        <w:rPr>
          <w:rFonts w:ascii="Arial" w:hAnsi="Arial"/>
          <w:color w:val="202124"/>
          <w:sz w:val="19"/>
        </w:rPr>
        <w:t>Sneferu has produced working software and product systems including RFP-Shred-to-Inbox, DrawSheet, Life Skills Foundations, Restoration Copilot, Patchline, COA Profiler, and Compliance Chronicle, while preserving failures and unresolved evidence.</w:t>
      </w:r>
    </w:p>
    <w:p>
      <w:pPr>
        <w:pStyle w:val="ListBullet"/>
        <w:spacing w:after="30" w:line="250" w:lineRule="auto"/>
        <w:ind w:left="259" w:hanging="202"/>
      </w:pPr>
      <w:r>
        <w:rPr>
          <w:rFonts w:ascii="Arial" w:hAnsi="Arial"/>
          <w:b/>
          <w:color w:val="202124"/>
          <w:sz w:val="19"/>
        </w:rPr>
        <w:t xml:space="preserve">Research and games. </w:t>
      </w:r>
      <w:r>
        <w:rPr>
          <w:rFonts w:ascii="Arial" w:hAnsi="Arial"/>
          <w:color w:val="202124"/>
          <w:sz w:val="19"/>
        </w:rPr>
        <w:t>Deterministic instruments have recovered known signals from real public data and rejected an apparent 5.29-sigma local particle signal after correction; the game pipeline completed a 17-stage production with a playable build and a published defect ledger.</w:t>
      </w:r>
    </w:p>
    <w:p>
      <w:pPr>
        <w:pStyle w:val="ListBullet"/>
        <w:spacing w:after="30" w:line="250" w:lineRule="auto"/>
        <w:ind w:left="259" w:hanging="202"/>
      </w:pPr>
      <w:r>
        <w:rPr>
          <w:rFonts w:ascii="Arial" w:hAnsi="Arial"/>
          <w:b/>
          <w:color w:val="202124"/>
          <w:sz w:val="19"/>
        </w:rPr>
        <w:t xml:space="preserve">Failure-directed improvement. </w:t>
      </w:r>
      <w:r>
        <w:rPr>
          <w:rFonts w:ascii="Arial" w:hAnsi="Arial"/>
          <w:color w:val="202124"/>
          <w:sz w:val="19"/>
        </w:rPr>
        <w:t>FDC Studio groups recurring model failures, curates targeted training material, protects prior capability with frozen tests, and refuses a candidate checkpoint unless it improves on a held-out evaluation. Its bundled decision-system demo passed 298 tests and rejected two of three candidates; live post-training is the proposed pilot.</w:t>
      </w:r>
    </w:p>
    <w:p>
      <w:pPr>
        <w:keepNext/>
        <w:spacing w:before="120" w:after="50"/>
      </w:pPr>
      <w:r>
        <w:rPr>
          <w:rFonts w:ascii="Arial" w:hAnsi="Arial"/>
          <w:b/>
          <w:color w:val="000000"/>
          <w:sz w:val="20"/>
        </w:rPr>
        <w:t>Measured Fireworks workload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42"/>
        <w:gridCol w:w="2642"/>
        <w:gridCol w:w="2642"/>
        <w:gridCol w:w="2642"/>
      </w:tblGrid>
      <w:tr>
        <w:tc>
          <w:tcPr>
            <w:tcW w:type="dxa" w:w="2621"/>
            <w:vAlign w:val="center"/>
            <w:shd w:fill="F5F1ED"/>
            <w:tcMar>
              <w:top w:w="80" w:type="dxa"/>
              <w:start w:w="110" w:type="dxa"/>
              <w:bottom w:w="45" w:type="dxa"/>
              <w:end w:w="110" w:type="dxa"/>
            </w:tcMar>
          </w:tcPr>
          <w:p>
            <w:pPr>
              <w:spacing w:after="0"/>
              <w:jc w:val="center"/>
            </w:pPr>
            <w:r>
              <w:rPr>
                <w:rFonts w:ascii="Arial" w:hAnsi="Arial"/>
                <w:b/>
                <w:color w:val="B3714B"/>
                <w:sz w:val="28"/>
              </w:rPr>
              <w:t>96.8%</w:t>
            </w:r>
          </w:p>
        </w:tc>
        <w:tc>
          <w:tcPr>
            <w:tcW w:type="dxa" w:w="2621"/>
            <w:vAlign w:val="center"/>
            <w:shd w:fill="F5F1ED"/>
            <w:tcMar>
              <w:top w:w="80" w:type="dxa"/>
              <w:start w:w="110" w:type="dxa"/>
              <w:bottom w:w="45" w:type="dxa"/>
              <w:end w:w="110" w:type="dxa"/>
            </w:tcMar>
          </w:tcPr>
          <w:p>
            <w:pPr>
              <w:spacing w:after="0"/>
              <w:jc w:val="center"/>
            </w:pPr>
            <w:r>
              <w:rPr>
                <w:rFonts w:ascii="Arial" w:hAnsi="Arial"/>
                <w:b/>
                <w:color w:val="B3714B"/>
                <w:sz w:val="28"/>
              </w:rPr>
              <w:t>20,286</w:t>
            </w:r>
          </w:p>
        </w:tc>
        <w:tc>
          <w:tcPr>
            <w:tcW w:type="dxa" w:w="2621"/>
            <w:vAlign w:val="center"/>
            <w:shd w:fill="F5F1ED"/>
            <w:tcMar>
              <w:top w:w="80" w:type="dxa"/>
              <w:start w:w="110" w:type="dxa"/>
              <w:bottom w:w="45" w:type="dxa"/>
              <w:end w:w="110" w:type="dxa"/>
            </w:tcMar>
          </w:tcPr>
          <w:p>
            <w:pPr>
              <w:spacing w:after="0"/>
              <w:jc w:val="center"/>
            </w:pPr>
            <w:r>
              <w:rPr>
                <w:rFonts w:ascii="Arial" w:hAnsi="Arial"/>
                <w:b/>
                <w:color w:val="B3714B"/>
                <w:sz w:val="28"/>
              </w:rPr>
              <w:t>3.12B</w:t>
            </w:r>
          </w:p>
        </w:tc>
        <w:tc>
          <w:tcPr>
            <w:tcW w:type="dxa" w:w="2621"/>
            <w:vAlign w:val="center"/>
            <w:shd w:fill="F5F1ED"/>
            <w:tcMar>
              <w:top w:w="80" w:type="dxa"/>
              <w:start w:w="110" w:type="dxa"/>
              <w:bottom w:w="45" w:type="dxa"/>
              <w:end w:w="110" w:type="dxa"/>
            </w:tcMar>
          </w:tcPr>
          <w:p>
            <w:pPr>
              <w:spacing w:after="0"/>
              <w:jc w:val="center"/>
            </w:pPr>
            <w:r>
              <w:rPr>
                <w:rFonts w:ascii="Arial" w:hAnsi="Arial"/>
                <w:b/>
                <w:color w:val="B3714B"/>
                <w:sz w:val="28"/>
              </w:rPr>
              <w:t>169/min</w:t>
            </w:r>
          </w:p>
        </w:tc>
      </w:tr>
      <w:tr>
        <w:tc>
          <w:tcPr>
            <w:tcW w:type="dxa" w:w="2621"/>
            <w:vAlign w:val="center"/>
            <w:tcMar>
              <w:top w:w="45" w:type="dxa"/>
              <w:start w:w="110" w:type="dxa"/>
              <w:bottom w:w="80" w:type="dxa"/>
              <w:end w:w="110" w:type="dxa"/>
            </w:tcMar>
          </w:tcPr>
          <w:p>
            <w:pPr>
              <w:spacing w:after="0"/>
              <w:jc w:val="center"/>
            </w:pPr>
            <w:r>
              <w:rPr>
                <w:rFonts w:ascii="Arial" w:hAnsi="Arial"/>
                <w:color w:val="5F6368"/>
                <w:sz w:val="16"/>
              </w:rPr>
              <w:t>of measured model spend</w:t>
            </w:r>
          </w:p>
        </w:tc>
        <w:tc>
          <w:tcPr>
            <w:tcW w:type="dxa" w:w="2621"/>
            <w:vAlign w:val="center"/>
            <w:tcMar>
              <w:top w:w="45" w:type="dxa"/>
              <w:start w:w="110" w:type="dxa"/>
              <w:bottom w:w="80" w:type="dxa"/>
              <w:end w:w="110" w:type="dxa"/>
            </w:tcMar>
          </w:tcPr>
          <w:p>
            <w:pPr>
              <w:spacing w:after="0"/>
              <w:jc w:val="center"/>
            </w:pPr>
            <w:r>
              <w:rPr>
                <w:rFonts w:ascii="Arial" w:hAnsi="Arial"/>
                <w:color w:val="5F6368"/>
                <w:sz w:val="16"/>
              </w:rPr>
              <w:t>model calls</w:t>
            </w:r>
          </w:p>
        </w:tc>
        <w:tc>
          <w:tcPr>
            <w:tcW w:type="dxa" w:w="2621"/>
            <w:vAlign w:val="center"/>
            <w:tcMar>
              <w:top w:w="45" w:type="dxa"/>
              <w:start w:w="110" w:type="dxa"/>
              <w:bottom w:w="80" w:type="dxa"/>
              <w:end w:w="110" w:type="dxa"/>
            </w:tcMar>
          </w:tcPr>
          <w:p>
            <w:pPr>
              <w:spacing w:after="0"/>
              <w:jc w:val="center"/>
            </w:pPr>
            <w:r>
              <w:rPr>
                <w:rFonts w:ascii="Arial" w:hAnsi="Arial"/>
                <w:color w:val="5F6368"/>
                <w:sz w:val="16"/>
              </w:rPr>
              <w:t>input tokens</w:t>
            </w:r>
          </w:p>
        </w:tc>
        <w:tc>
          <w:tcPr>
            <w:tcW w:type="dxa" w:w="2621"/>
            <w:vAlign w:val="center"/>
            <w:tcMar>
              <w:top w:w="45" w:type="dxa"/>
              <w:start w:w="110" w:type="dxa"/>
              <w:bottom w:w="80" w:type="dxa"/>
              <w:end w:w="110" w:type="dxa"/>
            </w:tcMar>
          </w:tcPr>
          <w:p>
            <w:pPr>
              <w:spacing w:after="0"/>
              <w:jc w:val="center"/>
            </w:pPr>
            <w:r>
              <w:rPr>
                <w:rFonts w:ascii="Arial" w:hAnsi="Arial"/>
                <w:color w:val="5F6368"/>
                <w:sz w:val="16"/>
              </w:rPr>
              <w:t>peak request rate</w:t>
            </w:r>
          </w:p>
        </w:tc>
      </w:tr>
    </w:tbl>
    <w:p>
      <w:pPr>
        <w:spacing w:before="40" w:after="50"/>
      </w:pPr>
      <w:r>
        <w:rPr>
          <w:rFonts w:ascii="Arial" w:hAnsi="Arial"/>
          <w:color w:val="5F6368"/>
          <w:sz w:val="16"/>
        </w:rPr>
        <w:t>Measured through September 5, 2026. Peak concurrency was seven calls on one machine. Local telemetry covers one machine; Fireworks billing reflects activity across a four-machine fleet. Current spend is approximately $3,000-$4,000 per month and climbing.</w:t>
      </w:r>
    </w:p>
    <w:p>
      <w:pPr>
        <w:keepNext/>
        <w:spacing w:before="120" w:after="50"/>
      </w:pPr>
      <w:r>
        <w:rPr>
          <w:rFonts w:ascii="Arial" w:hAnsi="Arial"/>
          <w:b/>
          <w:color w:val="000000"/>
          <w:sz w:val="20"/>
        </w:rPr>
        <w:t>Why the companies align</w:t>
      </w:r>
    </w:p>
    <w:p>
      <w:pPr>
        <w:pStyle w:val="ListBullet"/>
        <w:spacing w:after="30" w:line="250" w:lineRule="auto"/>
        <w:ind w:left="259" w:hanging="202"/>
      </w:pPr>
      <w:r>
        <w:rPr>
          <w:rFonts w:ascii="Arial" w:hAnsi="Arial"/>
          <w:b/>
          <w:color w:val="202124"/>
          <w:sz w:val="19"/>
        </w:rPr>
        <w:t xml:space="preserve">A real open-model workload. </w:t>
      </w:r>
      <w:r>
        <w:rPr>
          <w:rFonts w:ascii="Arial" w:hAnsi="Arial"/>
          <w:color w:val="202124"/>
          <w:sz w:val="19"/>
        </w:rPr>
        <w:t>Runs are long-lived, asynchronous, multi-model, and bursty. Different models fill author, adversary, judge, implementer, reviewer, and pair-coder roles; much of the work is suitable for batch or lower-cost capacity.</w:t>
      </w:r>
    </w:p>
    <w:p>
      <w:pPr>
        <w:pStyle w:val="ListBullet"/>
        <w:spacing w:after="30" w:line="250" w:lineRule="auto"/>
        <w:ind w:left="259" w:hanging="202"/>
      </w:pPr>
      <w:r>
        <w:rPr>
          <w:rFonts w:ascii="Arial" w:hAnsi="Arial"/>
          <w:b/>
          <w:color w:val="202124"/>
          <w:sz w:val="19"/>
        </w:rPr>
        <w:t xml:space="preserve">Complementary layers. </w:t>
      </w:r>
      <w:r>
        <w:rPr>
          <w:rFonts w:ascii="Arial" w:hAnsi="Arial"/>
          <w:color w:val="202124"/>
          <w:sz w:val="19"/>
        </w:rPr>
        <w:t>Fireworks provides inference and post-training infrastructure. Sneferu provides orchestration, evidence, evaluations, failure-directed data, and a commercial workload that demonstrates open models completing complex work.</w:t>
      </w:r>
    </w:p>
    <w:p>
      <w:pPr>
        <w:keepNext/>
        <w:spacing w:before="120" w:after="50"/>
      </w:pPr>
      <w:r>
        <w:rPr>
          <w:rFonts w:ascii="Arial" w:hAnsi="Arial"/>
          <w:b/>
          <w:color w:val="000000"/>
          <w:sz w:val="20"/>
        </w:rPr>
        <w:t>What we want to explore with Fireworks</w:t>
      </w:r>
    </w:p>
    <w:p>
      <w:pPr>
        <w:spacing w:after="24" w:line="250" w:lineRule="auto"/>
        <w:ind w:left="259" w:hanging="259"/>
      </w:pPr>
      <w:r>
        <w:rPr>
          <w:rFonts w:ascii="Arial" w:hAnsi="Arial"/>
          <w:b/>
          <w:color w:val="202124"/>
          <w:sz w:val="19"/>
        </w:rPr>
        <w:t xml:space="preserve">1. Fireworks for Startups. </w:t>
      </w:r>
      <w:r>
        <w:rPr>
          <w:rFonts w:ascii="Arial" w:hAnsi="Arial"/>
          <w:color w:val="202124"/>
          <w:sz w:val="19"/>
        </w:rPr>
        <w:t>Sneferu satisfies the registered-company, private, for-profit, under-five-year, and functional-website criteria. Because it is currently self-funded, we want guidance on the published venture-backing requirement and the right early-stage path.</w:t>
      </w:r>
    </w:p>
    <w:p>
      <w:pPr>
        <w:spacing w:after="24" w:line="250" w:lineRule="auto"/>
        <w:ind w:left="259" w:hanging="259"/>
      </w:pPr>
      <w:r>
        <w:rPr>
          <w:rFonts w:ascii="Arial" w:hAnsi="Arial"/>
          <w:b/>
          <w:color w:val="202124"/>
          <w:sz w:val="19"/>
        </w:rPr>
        <w:t xml:space="preserve">2. Build credits and operating headroom. </w:t>
      </w:r>
      <w:r>
        <w:rPr>
          <w:rFonts w:ascii="Arial" w:hAnsi="Arial"/>
          <w:color w:val="202124"/>
          <w:sz w:val="19"/>
        </w:rPr>
        <w:t>Use credits and higher rate limits for serverless inference, model fine-tuning, and a bounded on-demand GPU pilot, with a clear path to usage pricing as demand grows.</w:t>
      </w:r>
    </w:p>
    <w:p>
      <w:pPr>
        <w:spacing w:after="24" w:line="250" w:lineRule="auto"/>
        <w:ind w:left="259" w:hanging="259"/>
      </w:pPr>
      <w:r>
        <w:rPr>
          <w:rFonts w:ascii="Arial" w:hAnsi="Arial"/>
          <w:b/>
          <w:color w:val="202124"/>
          <w:sz w:val="19"/>
        </w:rPr>
        <w:t xml:space="preserve">3. Applied AI working session. </w:t>
      </w:r>
      <w:r>
        <w:rPr>
          <w:rFonts w:ascii="Arial" w:hAnsi="Arial"/>
          <w:color w:val="202124"/>
          <w:sz w:val="19"/>
        </w:rPr>
        <w:t>Review burst concurrency, cached context, workload routing, batch or dedicated options, and a fixed-baseline post-training experiment with held-out evaluation.</w:t>
      </w:r>
    </w:p>
    <w:p>
      <w:pPr>
        <w:spacing w:after="24" w:line="250" w:lineRule="auto"/>
        <w:ind w:left="259" w:hanging="259"/>
      </w:pPr>
      <w:r>
        <w:rPr>
          <w:rFonts w:ascii="Arial" w:hAnsi="Arial"/>
          <w:b/>
          <w:color w:val="202124"/>
          <w:sz w:val="19"/>
        </w:rPr>
        <w:t xml:space="preserve">4. Product relationship. </w:t>
      </w:r>
      <w:r>
        <w:rPr>
          <w:rFonts w:ascii="Arial" w:hAnsi="Arial"/>
          <w:color w:val="202124"/>
          <w:sz w:val="19"/>
        </w:rPr>
        <w:t>Participate in roadmap feedback, startup workshops and community, and—if the measured results justify it—develop a joint case study around open models finishing complex work.</w:t>
      </w:r>
    </w:p>
    <w:p>
      <w:pPr>
        <w:spacing w:after="24"/>
        <w:ind w:left="259"/>
      </w:pPr>
      <w:r>
        <w:rPr>
          <w:rFonts w:ascii="Arial" w:hAnsi="Arial"/>
          <w:b/>
          <w:color w:val="202124"/>
          <w:sz w:val="19"/>
        </w:rPr>
        <w:t xml:space="preserve">Program: </w:t>
      </w:r>
      <w:hyperlink r:id="rId11">
        <w:r>
          <w:rPr>
            <w:rFonts w:ascii="Arial" w:hAnsi="Arial"/>
            <w:color w:val="202124"/>
            <w:sz w:val="19"/>
            <w:color w:val="B3714B"/>
            <w:u w:val="single"/>
          </w:rPr>
          <w:t>fireworks.ai/startups</w:t>
        </w:r>
      </w:hyperlink>
    </w:p>
    <w:sectPr w:rsidR="00FC693F" w:rsidRPr="0006063C" w:rsidSect="00034616">
      <w:footerReference w:type="default" r:id="rId10"/>
      <w:pgSz w:w="12240" w:h="15840"/>
      <w:pgMar w:top="605" w:right="835" w:bottom="605" w:left="835"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5F6368"/>
        <w:sz w:val="16"/>
      </w:rPr>
      <w:t>Michael Lange  |  Founder and CEO  |  Sneferu.ai, Inc.  |  mike@sneferu.ai  |  sneferu.ai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yperlink" Target="https://fireworks.ai/start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Sneferu and Fireworks AI</dc:title>
  <dc:subject>Production workload and post-training opportunity</dc:subject>
  <dc:creator>Sneferu.ai, Inc.</dc:creator>
  <cp:keywords>Sneferu, Fireworks AI, inference, post-training, Software On Demand</cp:keywords>
  <dc:description>generated by python-docx</dc:description>
  <cp:lastModifiedBy/>
  <cp:revision>1</cp:revision>
  <dcterms:created xsi:type="dcterms:W3CDTF">2013-12-23T23:15:00Z</dcterms:created>
  <dcterms:modified xsi:type="dcterms:W3CDTF">2013-12-23T23:15:00Z</dcterms:modified>
  <cp:category/>
</cp:coreProperties>
</file>