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Design Conventions — Countdown 250 Ball</w:t>
      </w:r>
    </w:p>
    <w:p>
      <w:r>
        <w:rPr>
          <w:b/>
        </w:rPr>
        <w:t>Last updated:</w:t>
      </w:r>
      <w:r>
        <w:t xml:space="preserve"> 2026-04-29 </w:t>
      </w:r>
      <w:r>
        <w:rPr>
          <w:b/>
        </w:rPr>
        <w:t>Purpose:</w:t>
      </w:r>
      <w:r>
        <w:t xml:space="preserve"> Recovery / handoff doc for design language decisions made on the homepage and Hosted Tables page.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Color terminology (Mike's vocabulary, locked)</w:t>
      </w:r>
    </w:p>
    <w:p>
      <w:r>
        <w:t>When Mike uses these phrases in chat, they map to specific Tailwind classes: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Mike says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Means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16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Tailwind class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navy blue</w:t>
            </w:r>
            <w:r>
              <w:t xml:space="preserve"> </w:t>
            </w:r>
            <w:r>
              <w:rPr>
                <w:i/>
              </w:rPr>
              <w:t>(primary)</w:t>
            </w:r>
          </w:p>
        </w:tc>
        <w:tc>
          <w:tcPr>
            <w:tcW w:type="dxa" w:w="2160"/>
          </w:tcPr>
          <w:p>
            <w:r/>
            <w:r>
              <w:t>Old Glory Blue / America 250 official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#002868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bg-navy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text-navy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navy-dark blue</w:t>
            </w:r>
          </w:p>
        </w:tc>
        <w:tc>
          <w:tcPr>
            <w:tcW w:type="dxa" w:w="2160"/>
          </w:tcPr>
          <w:p>
            <w:r/>
            <w:r>
              <w:t>Darkest navy, used for high-impact moments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#001a45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bg-navy-dark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navy light blue</w:t>
            </w:r>
          </w:p>
        </w:tc>
        <w:tc>
          <w:tcPr>
            <w:tcW w:type="dxa" w:w="2160"/>
          </w:tcPr>
          <w:p>
            <w:r/>
            <w:r>
              <w:t>Hover states, accent only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#0d3d7a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bg-navy-light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"white"</w:t>
            </w:r>
            <w:r>
              <w:t xml:space="preserve"> </w:t>
            </w:r>
            <w:r>
              <w:rPr>
                <w:i/>
              </w:rPr>
              <w:t>(quotes)</w:t>
            </w:r>
          </w:p>
        </w:tc>
        <w:tc>
          <w:tcPr>
            <w:tcW w:type="dxa" w:w="2160"/>
          </w:tcPr>
          <w:p>
            <w:r/>
            <w:r>
              <w:t>Cream — Mike's word for the existing light bg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#faf8f5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bg-cream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gold</w:t>
            </w:r>
          </w:p>
        </w:tc>
        <w:tc>
          <w:tcPr>
            <w:tcW w:type="dxa" w:w="2160"/>
          </w:tcPr>
          <w:p>
            <w:r/>
            <w:r>
              <w:t>Brand accent gold</w:t>
            </w:r>
          </w:p>
        </w:tc>
        <w:tc>
          <w:tcPr>
            <w:tcW w:type="dxa" w:w="2160"/>
          </w:tcPr>
          <w:p>
            <w:r/>
            <w:r>
              <w:t>(see global.css)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bg-gold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text-gold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red</w:t>
            </w:r>
          </w:p>
        </w:tc>
        <w:tc>
          <w:tcPr>
            <w:tcW w:type="dxa" w:w="2160"/>
          </w:tcPr>
          <w:p>
            <w:r/>
            <w:r>
              <w:t>Accent red — patriotic + scarcity</w:t>
            </w:r>
          </w:p>
        </w:tc>
        <w:tc>
          <w:tcPr>
            <w:tcW w:type="dxa" w:w="2160"/>
          </w:tcPr>
          <w:p>
            <w:r/>
            <w:r>
              <w:t>(see global.css)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bg-red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text-red</w:t>
            </w:r>
          </w:p>
        </w:tc>
      </w:tr>
    </w:tbl>
    <w:p/>
    <w:p>
      <w:pPr>
        <w:pStyle w:val="Heading3"/>
      </w:pPr>
      <w:r>
        <w:t xml:space="preserve">The primary brand blue: </w:t>
      </w:r>
      <w:r>
        <w:rPr>
          <w:rFonts w:ascii="Consolas" w:hAnsi="Consolas"/>
          <w:sz w:val="20"/>
        </w:rPr>
        <w:t>navy blue</w:t>
      </w:r>
      <w:r>
        <w:t xml:space="preserve"> (</w:t>
      </w:r>
      <w:r>
        <w:rPr>
          <w:rFonts w:ascii="Consolas" w:hAnsi="Consolas"/>
          <w:sz w:val="20"/>
        </w:rPr>
        <w:t>#002868</w:t>
      </w:r>
      <w:r>
        <w:t>)</w:t>
      </w:r>
    </w:p>
    <w:p>
      <w:pPr>
        <w:pStyle w:val="ListBullet"/>
      </w:pPr>
      <w:r>
        <w:t xml:space="preserve">This is </w:t>
      </w:r>
      <w:r>
        <w:rPr>
          <w:b/>
        </w:rPr>
        <w:t>Old Glory Blue / Pantone 282 C</w:t>
      </w:r>
      <w:r>
        <w:t xml:space="preserve"> — the official US flag color and the America 250 Commission's brand color</w:t>
      </w:r>
    </w:p>
    <w:p>
      <w:pPr>
        <w:pStyle w:val="ListBullet"/>
      </w:pPr>
      <w:r>
        <w:t>Use as the dominant section bg</w:t>
      </w:r>
    </w:p>
    <w:p>
      <w:pPr>
        <w:pStyle w:val="ListBullet"/>
      </w:pPr>
      <w:r>
        <w:t>White or cream text on it; gold for emphasis</w:t>
      </w:r>
    </w:p>
    <w:p>
      <w:pPr>
        <w:pStyle w:val="Heading3"/>
      </w:pPr>
      <w:r>
        <w:t>When user says "change the bg color, also change text colors so they're appropriate"</w:t>
      </w:r>
    </w:p>
    <w:p>
      <w:r>
        <w:t>This is a standing rule — every bg-color change should cascade through to text/border/divider/CTA color updates so contrast and readability stay clean. Don't ask, just do it. If you change to a dark bg, dark text becomes light. If gold-feature is appropriate (e.g., Statesman amenities), use gold for headlines and bold spans.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Section bgs (current state, 2026-04-29)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Bg</w:t>
            </w:r>
          </w:p>
        </w:tc>
        <w:tc>
          <w:tcPr>
            <w:tcW w:type="dxa" w:w="2880"/>
            <w:shd w:val="clear" w:color="auto" w:fill="0B1F3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Hero</w:t>
            </w:r>
          </w:p>
        </w:tc>
        <w:tc>
          <w:tcPr>
            <w:tcW w:type="dxa" w:w="2880"/>
          </w:tcPr>
          <w:p>
            <w:r/>
            <w:r>
              <w:t>(Hero component)</w:t>
            </w:r>
          </w:p>
        </w:tc>
        <w:tc>
          <w:tcPr>
            <w:tcW w:type="dxa" w:w="2880"/>
          </w:tcPr>
          <w:p>
            <w:r/>
            <w:r>
              <w:t>Photographic hero</w:t>
            </w:r>
          </w:p>
        </w:tc>
      </w:tr>
      <w:tr>
        <w:tc>
          <w:tcPr>
            <w:tcW w:type="dxa" w:w="2880"/>
          </w:tcPr>
          <w:p>
            <w:r/>
            <w:r>
              <w:t>About / value</w:t>
            </w:r>
          </w:p>
        </w:tc>
        <w:tc>
          <w:tcPr>
            <w:tcW w:type="dxa" w:w="2880"/>
          </w:tcPr>
          <w:p>
            <w:r/>
            <w:r>
              <w:t>navy (or cream depending on layout)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Heroes / "Celebrating American Heroes"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navy</w:t>
            </w:r>
          </w:p>
        </w:tc>
        <w:tc>
          <w:tcPr>
            <w:tcW w:type="dxa" w:w="2880"/>
          </w:tcPr>
          <w:p>
            <w:r/>
            <w:r>
              <w:t>Was cream; user changed to navy — gold + white text on navy</w:t>
            </w:r>
          </w:p>
        </w:tc>
      </w:tr>
      <w:tr>
        <w:tc>
          <w:tcPr>
            <w:tcW w:type="dxa" w:w="2880"/>
          </w:tcPr>
          <w:p>
            <w:r/>
            <w:r>
              <w:t>Experience / "Your All-Inclusive Experience"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cream</w:t>
            </w:r>
          </w:p>
        </w:tc>
        <w:tc>
          <w:tcPr>
            <w:tcW w:type="dxa" w:w="2880"/>
          </w:tcPr>
          <w:p>
            <w:r/>
            <w:r>
              <w:t>Was a champagne gradient; user changed to cream. Has new "Be A Part Of History" red eyebrow above the H2.</w:t>
            </w:r>
          </w:p>
        </w:tc>
      </w:tr>
      <w:tr>
        <w:tc>
          <w:tcPr>
            <w:tcW w:type="dxa" w:w="2880"/>
          </w:tcPr>
          <w:p>
            <w:r/>
            <w:r>
              <w:t>Tickets / "Three Ticket Options"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navy</w:t>
            </w:r>
          </w:p>
        </w:tc>
        <w:tc>
          <w:tcPr>
            <w:tcW w:type="dxa" w:w="2880"/>
          </w:tcPr>
          <w:p>
            <w:r/>
            <w:r>
              <w:t>Was navy-dark; standardized to navy primary</w:t>
            </w:r>
          </w:p>
        </w:tc>
      </w:tr>
      <w:tr>
        <w:tc>
          <w:tcPr>
            <w:tcW w:type="dxa" w:w="2880"/>
          </w:tcPr>
          <w:p>
            <w:r/>
            <w:r>
              <w:t>Hosted Tables / "Host a Party Inside the Party"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navy</w:t>
            </w:r>
          </w:p>
        </w:tc>
        <w:tc>
          <w:tcPr>
            <w:tcW w:type="dxa" w:w="2880"/>
          </w:tcPr>
          <w:p>
            <w:r/>
            <w:r>
              <w:t>Was white; gold-feature treatment because it's a Statesman amenity</w:t>
            </w:r>
          </w:p>
        </w:tc>
      </w:tr>
      <w:tr>
        <w:tc>
          <w:tcPr>
            <w:tcW w:type="dxa" w:w="2880"/>
          </w:tcPr>
          <w:p>
            <w:r/>
            <w:r>
              <w:t>Sponsorship contact bar</w:t>
            </w:r>
          </w:p>
        </w:tc>
        <w:tc>
          <w:tcPr>
            <w:tcW w:type="dxa" w:w="2880"/>
          </w:tcPr>
          <w:p>
            <w:r/>
            <w:r>
              <w:t>navy-dark</w:t>
            </w:r>
          </w:p>
        </w:tc>
        <w:tc>
          <w:tcPr>
            <w:tcW w:type="dxa" w:w="2880"/>
          </w:tcPr>
          <w:p>
            <w:r/>
            <w:r>
              <w:t>Thin separator between Hosted Tables and Quotes</w:t>
            </w:r>
          </w:p>
        </w:tc>
      </w:tr>
      <w:tr>
        <w:tc>
          <w:tcPr>
            <w:tcW w:type="dxa" w:w="2880"/>
          </w:tcPr>
          <w:p>
            <w:r/>
            <w:r>
              <w:t>Social Proof / quotes</w:t>
            </w:r>
          </w:p>
        </w:tc>
        <w:tc>
          <w:tcPr>
            <w:tcW w:type="dxa" w:w="2880"/>
          </w:tcPr>
          <w:p>
            <w:r/>
            <w:r>
              <w:t>navy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Footer CTA banner</w:t>
            </w:r>
          </w:p>
        </w:tc>
        <w:tc>
          <w:tcPr>
            <w:tcW w:type="dxa" w:w="2880"/>
          </w:tcPr>
          <w:p>
            <w:r/>
            <w:r>
              <w:t>navy</w:t>
            </w:r>
          </w:p>
        </w:tc>
        <w:tc>
          <w:tcPr>
            <w:tcW w:type="dxa" w:w="2880"/>
          </w:tcPr>
          <w:p>
            <w:r/>
            <w:r>
              <w:t>Now opens with 5 gold stars + "Be A Part Of History"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pStyle w:val="Heading2"/>
      </w:pPr>
      <w:r>
        <w:t>Recurring patterns</w:t>
      </w:r>
    </w:p>
    <w:p>
      <w:pPr>
        <w:pStyle w:val="Heading3"/>
      </w:pPr>
      <w:r>
        <w:t>Section heading rhythm</w:t>
      </w:r>
    </w:p>
    <w:p>
      <w:pPr>
        <w:ind w:left="360"/>
        <w:shd w:val="clear" w:color="auto" w:fill="F2F2F2"/>
      </w:pPr>
      <w:r>
        <w:rPr>
          <w:rFonts w:ascii="Consolas" w:hAnsi="Consolas"/>
          <w:sz w:val="20"/>
        </w:rPr>
        <w:t>[Eyebrow]                    text-red font-bold tracking-[0.3em] uppercase text-xs sm:text-sm mb-3</w:t>
        <w:br/>
        <w:t>[H2]                         text-3xl sm:text-4xl md:text-5xl font-bold text-{navy or white} mb-4 font-heading leading-tight</w:t>
        <w:br/>
        <w:t>[Gold divider]               w-20 h-px bg-gold mx-auto mb-6</w:t>
        <w:br/>
        <w:t>[Body]                       text-{navy/85 or white/85} text-lg leading-relaxed</w:t>
      </w:r>
    </w:p>
    <w:p>
      <w:pPr>
        <w:pStyle w:val="Heading3"/>
      </w:pPr>
      <w:r>
        <w:t>"Eyebrow" style</w:t>
      </w:r>
    </w:p>
    <w:p>
      <w:r>
        <w:t xml:space="preserve">Used above section H2s and inside benefit panels. Always: </w:t>
      </w:r>
      <w:r>
        <w:rPr>
          <w:rFonts w:ascii="Consolas" w:hAnsi="Consolas"/>
          <w:sz w:val="20"/>
        </w:rPr>
        <w:t>text-{accent-color} font-bold tracking-[0.25em] uppercase text-xs sm:text-sm</w:t>
      </w:r>
    </w:p>
    <w:p>
      <w:r>
        <w:t>Examples on the live site: "A Distinguished Tradition", "Benefits to Hosts", "Be A Part Of History", "PLUS THESE ELITE UPGRADES:".</w:t>
      </w:r>
    </w:p>
    <w:p>
      <w:pPr>
        <w:pStyle w:val="Heading3"/>
      </w:pPr>
      <w:r>
        <w:t>Gold CTA button (signature pattern)</w:t>
      </w:r>
    </w:p>
    <w:p>
      <w:pPr>
        <w:ind w:left="360"/>
        <w:shd w:val="clear" w:color="auto" w:fill="F2F2F2"/>
      </w:pPr>
      <w:r>
        <w:rPr>
          <w:rFonts w:ascii="Consolas" w:hAnsi="Consolas"/>
          <w:sz w:val="20"/>
        </w:rPr>
        <w:t>class="bg-gradient-to-b from-gold to-[#B8954A] hover:from-[#D9B864] hover:to-gold text-navy-dark px-9 py-4 text-sm font-bold tracking-[0.12em] uppercase rounded shadow-xl hover:shadow-2xl hover:-translate-y-0.5 ring-1 ring-gold/30 ring-offset-2 ring-offset-navy"</w:t>
      </w:r>
    </w:p>
    <w:p>
      <w:r>
        <w:t>Used for: Statesman ticket "Host your Own Party Inside the Party" CTA, Hosted Tables page Create/Join cards, Hosted Tables "Explore Hosted Tables" button, page closing CTA.</w:t>
      </w:r>
    </w:p>
    <w:p>
      <w:pPr>
        <w:pStyle w:val="Heading3"/>
      </w:pPr>
      <w:r>
        <w:t>Eventbrite CTAs</w:t>
      </w:r>
    </w:p>
    <w:p>
      <w:r>
        <w:t>All ticket-purchase CTAs use:</w:t>
      </w:r>
    </w:p>
    <w:p>
      <w:pPr>
        <w:pStyle w:val="ListBullet"/>
      </w:pPr>
      <w:r>
        <w:rPr>
          <w:rFonts w:ascii="Consolas" w:hAnsi="Consolas"/>
          <w:sz w:val="20"/>
        </w:rPr>
        <w:t>class="eventbrite-checkout"</w:t>
      </w:r>
      <w:r>
        <w:t xml:space="preserve"> — required for the Eventbrite checkout integration</w:t>
      </w:r>
    </w:p>
    <w:p>
      <w:pPr>
        <w:pStyle w:val="ListBullet"/>
      </w:pPr>
      <w:r>
        <w:rPr>
          <w:rFonts w:ascii="Consolas" w:hAnsi="Consolas"/>
          <w:sz w:val="20"/>
        </w:rPr>
        <w:t>href={ticketUrl}</w:t>
      </w:r>
      <w:r>
        <w:t xml:space="preserve"> — the </w:t>
      </w:r>
      <w:r>
        <w:rPr>
          <w:rFonts w:ascii="Consolas" w:hAnsi="Consolas"/>
          <w:sz w:val="20"/>
        </w:rPr>
        <w:t>?aff=websitemain</w:t>
      </w:r>
      <w:r>
        <w:t xml:space="preserve"> affiliate URL</w:t>
      </w:r>
    </w:p>
    <w:p>
      <w:r>
        <w:rPr>
          <w:b/>
        </w:rPr>
        <w:t>Never strip the `eventbrite-checkout` class or the `aff=websitemain` query param.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Typography</w:t>
      </w:r>
    </w:p>
    <w:p>
      <w:pPr>
        <w:pStyle w:val="ListBullet"/>
      </w:pPr>
      <w:r>
        <w:rPr>
          <w:b/>
        </w:rPr>
        <w:t>Headings:</w:t>
      </w:r>
      <w:r>
        <w:t xml:space="preserve"> </w:t>
      </w:r>
      <w:r>
        <w:rPr>
          <w:rFonts w:ascii="Consolas" w:hAnsi="Consolas"/>
          <w:sz w:val="20"/>
        </w:rPr>
        <w:t>font-heading</w:t>
      </w:r>
      <w:r>
        <w:t xml:space="preserve"> (loaded in BaseLayout)</w:t>
      </w:r>
    </w:p>
    <w:p>
      <w:pPr>
        <w:pStyle w:val="ListBullet"/>
      </w:pPr>
      <w:r>
        <w:rPr>
          <w:b/>
        </w:rPr>
        <w:t>Body:</w:t>
      </w:r>
      <w:r>
        <w:t xml:space="preserve"> Tailwind default sans-serif</w:t>
      </w:r>
    </w:p>
    <w:p>
      <w:pPr>
        <w:pStyle w:val="ListBullet"/>
      </w:pPr>
      <w:r>
        <w:rPr>
          <w:b/>
        </w:rPr>
        <w:t>Italic mood lines</w:t>
      </w:r>
      <w:r>
        <w:t xml:space="preserve"> (e.g., "These Honored Guests will receive our inaugural"): </w:t>
      </w:r>
      <w:r>
        <w:rPr>
          <w:rFonts w:ascii="Consolas" w:hAnsi="Consolas"/>
          <w:sz w:val="20"/>
        </w:rPr>
        <w:t>font-heading italic</w:t>
      </w:r>
      <w:r>
        <w:t xml:space="preserve"> for serif-italic feel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Spacing rhythm</w:t>
      </w:r>
    </w:p>
    <w:p>
      <w:pPr>
        <w:pStyle w:val="ListBullet"/>
      </w:pPr>
      <w:r>
        <w:rPr>
          <w:b/>
        </w:rPr>
        <w:t>Section padding:</w:t>
      </w:r>
      <w:r>
        <w:t xml:space="preserve"> </w:t>
      </w:r>
      <w:r>
        <w:rPr>
          <w:rFonts w:ascii="Consolas" w:hAnsi="Consolas"/>
          <w:sz w:val="20"/>
        </w:rPr>
        <w:t>py-12 pb-20 sm:pt-16 sm:pb-28</w:t>
      </w:r>
      <w:r>
        <w:t xml:space="preserve"> (typical)</w:t>
      </w:r>
    </w:p>
    <w:p>
      <w:pPr>
        <w:pStyle w:val="ListBullet"/>
      </w:pPr>
      <w:r>
        <w:rPr>
          <w:b/>
        </w:rPr>
        <w:t>Tight section pairs</w:t>
      </w:r>
      <w:r>
        <w:t xml:space="preserve"> (e.g., two same-color sections): reduce to </w:t>
      </w:r>
      <w:r>
        <w:rPr>
          <w:rFonts w:ascii="Consolas" w:hAnsi="Consolas"/>
          <w:sz w:val="20"/>
        </w:rPr>
        <w:t>pb-8 sm:pb-12</w:t>
      </w:r>
      <w:r>
        <w:t xml:space="preserve"> + </w:t>
      </w:r>
      <w:r>
        <w:rPr>
          <w:rFonts w:ascii="Consolas" w:hAnsi="Consolas"/>
          <w:sz w:val="20"/>
        </w:rPr>
        <w:t>pt-8 sm:pt-10</w:t>
      </w:r>
      <w:r>
        <w:t xml:space="preserve"> — combined ~64–88px gap, not 128–176px</w:t>
      </w:r>
    </w:p>
    <w:p>
      <w:pPr>
        <w:pStyle w:val="ListBullet"/>
      </w:pPr>
      <w:r>
        <w:rPr>
          <w:b/>
        </w:rPr>
        <w:t>Below H2:</w:t>
      </w:r>
      <w:r>
        <w:t xml:space="preserve"> </w:t>
      </w:r>
      <w:r>
        <w:rPr>
          <w:rFonts w:ascii="Consolas" w:hAnsi="Consolas"/>
          <w:sz w:val="20"/>
        </w:rPr>
        <w:t>mb-4</w:t>
      </w:r>
      <w:r>
        <w:t xml:space="preserve"> between H2 and divider</w:t>
      </w:r>
    </w:p>
    <w:p>
      <w:pPr>
        <w:pStyle w:val="ListBullet"/>
      </w:pPr>
      <w:r>
        <w:rPr>
          <w:b/>
        </w:rPr>
        <w:t>Below divider:</w:t>
      </w:r>
      <w:r>
        <w:t xml:space="preserve"> </w:t>
      </w:r>
      <w:r>
        <w:rPr>
          <w:rFonts w:ascii="Consolas" w:hAnsi="Consolas"/>
          <w:sz w:val="20"/>
        </w:rPr>
        <w:t>mb-6</w:t>
      </w:r>
      <w:r>
        <w:t xml:space="preserve"> between divider and body</w:t>
      </w:r>
    </w:p>
    <w:p>
      <w:pPr>
        <w:pStyle w:val="ListBullet"/>
      </w:pPr>
      <w:r>
        <w:rPr>
          <w:b/>
        </w:rPr>
        <w:t>Between sections of body content:</w:t>
      </w:r>
      <w:r>
        <w:t xml:space="preserve"> </w:t>
      </w:r>
      <w:r>
        <w:rPr>
          <w:rFonts w:ascii="Consolas" w:hAnsi="Consolas"/>
          <w:sz w:val="20"/>
        </w:rPr>
        <w:t>mb-10 sm:mb-12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Image conventions</w:t>
      </w:r>
    </w:p>
    <w:p>
      <w:pPr>
        <w:pStyle w:val="ListBullet"/>
      </w:pPr>
      <w:r>
        <w:rPr>
          <w:b/>
        </w:rPr>
        <w:t>Photos in carousels / cards:</w:t>
      </w:r>
      <w:r>
        <w:t xml:space="preserve"> </w:t>
      </w:r>
      <w:r>
        <w:rPr>
          <w:rFonts w:ascii="Consolas" w:hAnsi="Consolas"/>
          <w:sz w:val="20"/>
        </w:rPr>
        <w:t>&lt;img&gt;</w:t>
      </w:r>
      <w:r>
        <w:t xml:space="preserve"> with </w:t>
      </w:r>
      <w:r>
        <w:rPr>
          <w:rFonts w:ascii="Consolas" w:hAnsi="Consolas"/>
          <w:sz w:val="20"/>
        </w:rPr>
        <w:t>loading="lazy"</w:t>
      </w:r>
      <w:r>
        <w:t xml:space="preserve"> (first slide may be </w:t>
      </w:r>
      <w:r>
        <w:rPr>
          <w:rFonts w:ascii="Consolas" w:hAnsi="Consolas"/>
          <w:sz w:val="20"/>
        </w:rPr>
        <w:t>loading="eager"</w:t>
      </w:r>
      <w:r>
        <w:t>)</w:t>
      </w:r>
    </w:p>
    <w:p>
      <w:pPr>
        <w:pStyle w:val="ListBullet"/>
      </w:pPr>
      <w:r>
        <w:rPr>
          <w:b/>
        </w:rPr>
        <w:t>PNG with transparency</w:t>
      </w:r>
      <w:r>
        <w:t xml:space="preserve"> (medal, logos): use </w:t>
      </w:r>
      <w:r>
        <w:rPr>
          <w:rFonts w:ascii="Consolas" w:hAnsi="Consolas"/>
          <w:sz w:val="20"/>
        </w:rPr>
        <w:t>&lt;picture&gt;</w:t>
      </w:r>
      <w:r>
        <w:t xml:space="preserve"> with </w:t>
      </w:r>
      <w:r>
        <w:rPr>
          <w:rFonts w:ascii="Consolas" w:hAnsi="Consolas"/>
          <w:sz w:val="20"/>
        </w:rPr>
        <w:t>&lt;source srcset="...webp" type="image/webp"&gt;</w:t>
      </w:r>
      <w:r>
        <w:t xml:space="preserve"> + </w:t>
      </w:r>
      <w:r>
        <w:rPr>
          <w:rFonts w:ascii="Consolas" w:hAnsi="Consolas"/>
          <w:sz w:val="20"/>
        </w:rPr>
        <w:t>&lt;img src="...png"&gt;</w:t>
      </w:r>
      <w:r>
        <w:t xml:space="preserve"> fallback</w:t>
      </w:r>
    </w:p>
    <w:p>
      <w:pPr>
        <w:pStyle w:val="ListBullet"/>
      </w:pPr>
      <w:r>
        <w:rPr>
          <w:b/>
        </w:rPr>
        <w:t>All images compressed</w:t>
      </w:r>
      <w:r>
        <w:t xml:space="preserve"> to display-size + Pillow optimization. Max widths typical:</w:t>
      </w:r>
    </w:p>
    <w:p>
      <w:pPr>
        <w:pStyle w:val="ListBullet"/>
      </w:pPr>
      <w:r>
        <w:t>Hero photos: 1600px</w:t>
      </w:r>
    </w:p>
    <w:p>
      <w:pPr>
        <w:pStyle w:val="ListBullet"/>
      </w:pPr>
      <w:r>
        <w:t>Carousel slides: 1600px</w:t>
      </w:r>
    </w:p>
    <w:p>
      <w:pPr>
        <w:pStyle w:val="ListBullet"/>
      </w:pPr>
      <w:r>
        <w:t>Logo / medal: 800–1000px</w:t>
      </w:r>
    </w:p>
    <w:p>
      <w:pPr>
        <w:pStyle w:val="ListBullet"/>
      </w:pPr>
      <w:r>
        <w:rPr>
          <w:b/>
        </w:rPr>
        <w:t>Compression scripts</w:t>
      </w:r>
      <w:r>
        <w:t xml:space="preserve"> in </w:t>
      </w:r>
      <w:r>
        <w:rPr>
          <w:rFonts w:ascii="Consolas" w:hAnsi="Consolas"/>
          <w:sz w:val="20"/>
        </w:rPr>
        <w:t>scripts/</w:t>
      </w:r>
      <w:r>
        <w:t xml:space="preserve"> (compress_homepage_fat.py, png_to_webp.py, compress_experience.py, compress_heroes.py, swap_medal.py)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Carousel pattern</w:t>
      </w:r>
    </w:p>
    <w:p>
      <w:pPr>
        <w:pStyle w:val="ListBullet"/>
      </w:pPr>
      <w:r>
        <w:t xml:space="preserve">Class on container: </w:t>
      </w:r>
      <w:r>
        <w:rPr>
          <w:rFonts w:ascii="Consolas" w:hAnsi="Consolas"/>
          <w:sz w:val="20"/>
        </w:rPr>
        <w:t>.heroes-carousel</w:t>
      </w:r>
      <w:r>
        <w:t xml:space="preserve"> or </w:t>
      </w:r>
      <w:r>
        <w:rPr>
          <w:rFonts w:ascii="Consolas" w:hAnsi="Consolas"/>
          <w:sz w:val="20"/>
        </w:rPr>
        <w:t>.experience-carousel</w:t>
      </w:r>
    </w:p>
    <w:p>
      <w:pPr>
        <w:pStyle w:val="ListBullet"/>
      </w:pPr>
      <w:r>
        <w:t xml:space="preserve">Each slide: </w:t>
      </w:r>
      <w:r>
        <w:rPr>
          <w:rFonts w:ascii="Consolas" w:hAnsi="Consolas"/>
          <w:sz w:val="20"/>
        </w:rPr>
        <w:t>&lt;div class="carousel-slide"&gt;</w:t>
      </w:r>
      <w:r>
        <w:t xml:space="preserve"> (first one gets </w:t>
      </w:r>
      <w:r>
        <w:rPr>
          <w:rFonts w:ascii="Consolas" w:hAnsi="Consolas"/>
          <w:sz w:val="20"/>
        </w:rPr>
        <w:t>active</w:t>
      </w:r>
      <w:r>
        <w:t>)</w:t>
      </w:r>
    </w:p>
    <w:p>
      <w:pPr>
        <w:pStyle w:val="ListBullet"/>
      </w:pPr>
      <w:r>
        <w:t xml:space="preserve">Dots match: each </w:t>
      </w:r>
      <w:r>
        <w:rPr>
          <w:rFonts w:ascii="Consolas" w:hAnsi="Consolas"/>
          <w:sz w:val="20"/>
        </w:rPr>
        <w:t>&lt;button class="carousel-dot"&gt;</w:t>
      </w:r>
      <w:r>
        <w:t xml:space="preserve"> (first one </w:t>
      </w:r>
      <w:r>
        <w:rPr>
          <w:rFonts w:ascii="Consolas" w:hAnsi="Consolas"/>
          <w:sz w:val="20"/>
        </w:rPr>
        <w:t>active</w:t>
      </w:r>
      <w:r>
        <w:t>)</w:t>
      </w:r>
    </w:p>
    <w:p>
      <w:pPr>
        <w:pStyle w:val="ListBullet"/>
      </w:pPr>
      <w:r>
        <w:rPr>
          <w:b/>
        </w:rPr>
        <w:t>Dot count must equal slide count</w:t>
      </w:r>
      <w:r>
        <w:t xml:space="preserve"> — Check #5 in the audit catches this</w:t>
      </w:r>
    </w:p>
    <w:p>
      <w:pPr>
        <w:pStyle w:val="ListBullet"/>
      </w:pPr>
      <w:r>
        <w:t xml:space="preserve">Init: </w:t>
      </w:r>
      <w:r>
        <w:rPr>
          <w:rFonts w:ascii="Consolas" w:hAnsi="Consolas"/>
          <w:sz w:val="20"/>
        </w:rPr>
        <w:t>initFadeCarousel('.heroes-carousel', 6500)</w:t>
      </w:r>
      <w:r>
        <w:t xml:space="preserve"> (6500ms per slide for heroes, 5500ms for experience)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Footer</w:t>
      </w:r>
    </w:p>
    <w:p>
      <w:pPr>
        <w:pStyle w:val="ListBullet"/>
      </w:pPr>
      <w:r>
        <w:t>"Be A Part Of History" replaces "Be There When History Is Made" (changed 2026-04-29)</w:t>
      </w:r>
    </w:p>
    <w:p>
      <w:pPr>
        <w:pStyle w:val="ListBullet"/>
      </w:pPr>
      <w:r>
        <w:t>Opens with a row of 5 gold stars (★ ★ ★ ★ ★) — visual separator from the same-color navy testimonial section above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Removed sections (don't bring back unless explicitly asked)</w:t>
      </w:r>
    </w:p>
    <w:p>
      <w:pPr>
        <w:pStyle w:val="ListBullet"/>
      </w:pPr>
      <w:r>
        <w:t xml:space="preserve">❌ "It's Almost Time" red urgency section </w:t>
      </w:r>
      <w:r>
        <w:rPr>
          <w:i/>
        </w:rPr>
        <w:t>(removed 2026-04-29)</w:t>
      </w:r>
    </w:p>
    <w:p>
      <w:pPr>
        <w:pStyle w:val="ListBullet"/>
      </w:pPr>
      <w:r>
        <w:t xml:space="preserve">❌ "Common Questions" inline FAQ on the homepage </w:t>
      </w:r>
      <w:r>
        <w:rPr>
          <w:i/>
        </w:rPr>
        <w:t>(removed 2026-04-29; the dedicated `/faq` page is still live)</w:t>
      </w:r>
    </w:p>
    <w:p>
      <w:pPr>
        <w:pStyle w:val="ListBullet"/>
      </w:pPr>
      <w:r>
        <w:t xml:space="preserve">❌ Gold "Special Perk for Statesman's Pass Holders" banner above Hosted Tables </w:t>
      </w:r>
      <w:r>
        <w:rPr>
          <w:i/>
        </w:rPr>
        <w:t>(removed 2026-04-29)</w:t>
      </w:r>
    </w:p>
    <w:p>
      <w:pPr>
        <w:pStyle w:val="ListBullet"/>
      </w:pPr>
      <w:r>
        <w:t xml:space="preserve">❌ "Hosted Group Tables / Gather your crew" badge on the Statesman ticket </w:t>
      </w:r>
      <w:r>
        <w:rPr>
          <w:i/>
        </w:rPr>
        <w:t>(removed earlier)</w:t>
      </w:r>
    </w:p>
    <w:p>
      <w:pPr>
        <w:pStyle w:val="ListBullet"/>
      </w:pPr>
      <w:r>
        <w:t xml:space="preserve">❌ "Learn More About the Statesman's Experience" link on the Statesman ticket </w:t>
      </w:r>
      <w:r>
        <w:rPr>
          <w:i/>
        </w:rPr>
        <w:t>(removed earlier; the `/statesmans-pass` page still exists at the URL but is not currently linked from the homepage)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Audit + deploy hygiene</w:t>
      </w:r>
    </w:p>
    <w:p>
      <w:r>
        <w:t>Before every push, run:</w:t>
      </w:r>
    </w:p>
    <w:p>
      <w:pPr>
        <w:ind w:left="360"/>
        <w:shd w:val="clear" w:color="auto" w:fill="F2F2F2"/>
      </w:pPr>
      <w:r>
        <w:rPr>
          <w:rFonts w:ascii="Consolas" w:hAnsi="Consolas"/>
          <w:sz w:val="20"/>
        </w:rPr>
        <w:t>python scripts/audit_assets.py</w:t>
      </w:r>
    </w:p>
    <w:p>
      <w:r>
        <w:t>6 checks must all PASS:</w:t>
      </w:r>
    </w:p>
    <w:p>
      <w:pPr>
        <w:pStyle w:val="ListNumber"/>
      </w:pPr>
      <w:r>
        <w:t>Image existence</w:t>
      </w:r>
    </w:p>
    <w:p>
      <w:pPr>
        <w:pStyle w:val="ListNumber"/>
      </w:pPr>
      <w:r>
        <w:t>Internal route resolution</w:t>
      </w:r>
    </w:p>
    <w:p>
      <w:pPr>
        <w:pStyle w:val="ListNumber"/>
      </w:pPr>
      <w:r>
        <w:t>In-page anchor resolution</w:t>
      </w:r>
    </w:p>
    <w:p>
      <w:pPr>
        <w:pStyle w:val="ListNumber"/>
      </w:pPr>
      <w:r>
        <w:t>Duplicate IDs</w:t>
      </w:r>
    </w:p>
    <w:p>
      <w:pPr>
        <w:pStyle w:val="ListNumber"/>
      </w:pPr>
      <w:r>
        <w:t>Carousel dot/slide match</w:t>
      </w:r>
    </w:p>
    <w:p>
      <w:pPr>
        <w:pStyle w:val="ListNumber"/>
      </w:pPr>
      <w:r>
        <w:t>Dead/missing named imports</w:t>
      </w:r>
    </w:p>
    <w:p>
      <w:r>
        <w:t xml:space="preserve">GitHub Actions auto-deploys to GitHub Pages on push to </w:t>
      </w:r>
      <w:r>
        <w:rPr>
          <w:rFonts w:ascii="Consolas" w:hAnsi="Consolas"/>
          <w:sz w:val="20"/>
        </w:rPr>
        <w:t>main</w:t>
      </w:r>
      <w:r>
        <w:t>. Failures (typically TypeScript compile errors) text Mike directly. Deploy time: ~60–90 seconds.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>Backups</w:t>
      </w:r>
    </w:p>
    <w:p>
      <w:pPr>
        <w:pStyle w:val="ListBullet"/>
      </w:pPr>
      <w:r>
        <w:t xml:space="preserve">This repo: </w:t>
      </w:r>
      <w:r>
        <w:rPr>
          <w:rFonts w:ascii="Consolas" w:hAnsi="Consolas"/>
          <w:sz w:val="20"/>
        </w:rPr>
        <w:t>C:\Users\USER\countdown250</w:t>
      </w:r>
      <w:r>
        <w:t xml:space="preserve"> (working tree + git history)</w:t>
      </w:r>
    </w:p>
    <w:p>
      <w:pPr>
        <w:pStyle w:val="ListBullet"/>
      </w:pPr>
      <w:r>
        <w:t xml:space="preserve">Cross-session memory backups: </w:t>
      </w:r>
      <w:r>
        <w:rPr>
          <w:rFonts w:ascii="Consolas" w:hAnsi="Consolas"/>
          <w:sz w:val="20"/>
        </w:rPr>
        <w:t>C:\Users\USER\claude-backups\YYYY-MM-DD\</w:t>
      </w:r>
      <w:r>
        <w:t xml:space="preserve"> (per Mike's standing protocol; CLAUDE.md memory references this)</w:t>
      </w:r>
    </w:p>
    <w:p>
      <w:pPr>
        <w:pStyle w:val="ListBullet"/>
      </w:pPr>
      <w:r>
        <w:t xml:space="preserve">Important docs (this file + </w:t>
      </w:r>
      <w:r>
        <w:rPr>
          <w:rFonts w:ascii="Consolas" w:hAnsi="Consolas"/>
          <w:sz w:val="20"/>
        </w:rPr>
        <w:t>hosted-tables-program.md</w:t>
      </w:r>
      <w:r>
        <w:t xml:space="preserve">) live in </w:t>
      </w:r>
      <w:r>
        <w:rPr>
          <w:rFonts w:ascii="Consolas" w:hAnsi="Consolas"/>
          <w:sz w:val="20"/>
        </w:rPr>
        <w:t>docs/</w:t>
      </w:r>
      <w:r>
        <w:t xml:space="preserve"> so they travel with the codebase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1F3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