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38F7" w14:textId="4D336CB2" w:rsidR="003331F8" w:rsidRPr="00CC147F" w:rsidRDefault="003331F8" w:rsidP="003331F8">
      <w:pPr>
        <w:rPr>
          <w:rFonts w:ascii="Times New Roman" w:hAnsi="Times New Roman" w:cs="Times New Roman"/>
          <w:b/>
          <w:bCs/>
          <w:sz w:val="22"/>
          <w:szCs w:val="22"/>
        </w:rPr>
      </w:pPr>
      <w:r w:rsidRPr="00CC147F">
        <w:rPr>
          <w:rFonts w:ascii="Times New Roman" w:hAnsi="Times New Roman" w:cs="Times New Roman"/>
          <w:b/>
          <w:bCs/>
          <w:sz w:val="22"/>
          <w:szCs w:val="22"/>
        </w:rPr>
        <w:t xml:space="preserve">Specifications for </w:t>
      </w:r>
      <w:r w:rsidRPr="003331F8">
        <w:rPr>
          <w:rFonts w:ascii="Times New Roman" w:hAnsi="Times New Roman" w:cs="Times New Roman"/>
          <w:b/>
          <w:bCs/>
          <w:sz w:val="22"/>
          <w:szCs w:val="22"/>
        </w:rPr>
        <w:t>AI-Assisted Evidence Grading Tool</w:t>
      </w:r>
      <w:r w:rsidRPr="00CC147F">
        <w:rPr>
          <w:rFonts w:ascii="Times New Roman" w:hAnsi="Times New Roman" w:cs="Times New Roman"/>
          <w:b/>
          <w:bCs/>
          <w:sz w:val="22"/>
          <w:szCs w:val="22"/>
        </w:rPr>
        <w:t xml:space="preserve"> (“Appraise-AI”)</w:t>
      </w:r>
    </w:p>
    <w:p w14:paraId="33B0ED89" w14:textId="641142AB" w:rsidR="003331F8" w:rsidRPr="00CC147F" w:rsidRDefault="003331F8" w:rsidP="000158F0">
      <w:pPr>
        <w:jc w:val="right"/>
        <w:rPr>
          <w:rFonts w:ascii="Times New Roman" w:hAnsi="Times New Roman" w:cs="Times New Roman"/>
          <w:sz w:val="22"/>
          <w:szCs w:val="22"/>
        </w:rPr>
      </w:pPr>
      <w:r w:rsidRPr="00CC147F">
        <w:rPr>
          <w:rFonts w:ascii="Times New Roman" w:hAnsi="Times New Roman" w:cs="Times New Roman"/>
          <w:b/>
          <w:bCs/>
          <w:sz w:val="22"/>
          <w:szCs w:val="22"/>
        </w:rPr>
        <w:t>John Lee</w:t>
      </w:r>
    </w:p>
    <w:p w14:paraId="2173CDFC" w14:textId="685583DF" w:rsidR="003331F8" w:rsidRPr="00CC147F" w:rsidRDefault="003331F8" w:rsidP="003331F8">
      <w:pPr>
        <w:rPr>
          <w:rFonts w:ascii="Times New Roman" w:hAnsi="Times New Roman" w:cs="Times New Roman"/>
          <w:b/>
          <w:bCs/>
          <w:sz w:val="22"/>
          <w:szCs w:val="22"/>
        </w:rPr>
      </w:pPr>
      <w:r w:rsidRPr="00CC147F">
        <w:rPr>
          <w:rFonts w:ascii="Times New Roman" w:hAnsi="Times New Roman" w:cs="Times New Roman"/>
          <w:b/>
          <w:bCs/>
          <w:sz w:val="22"/>
          <w:szCs w:val="22"/>
        </w:rPr>
        <w:t>Background</w:t>
      </w:r>
    </w:p>
    <w:p w14:paraId="6F427DF7" w14:textId="5812CB62" w:rsidR="003331F8" w:rsidRPr="00CC147F" w:rsidRDefault="003331F8" w:rsidP="003331F8">
      <w:pPr>
        <w:rPr>
          <w:rFonts w:ascii="Times New Roman" w:hAnsi="Times New Roman" w:cs="Times New Roman"/>
          <w:sz w:val="22"/>
          <w:szCs w:val="22"/>
        </w:rPr>
      </w:pPr>
      <w:r w:rsidRPr="00CC147F">
        <w:rPr>
          <w:rFonts w:ascii="Times New Roman" w:hAnsi="Times New Roman" w:cs="Times New Roman"/>
          <w:sz w:val="22"/>
          <w:szCs w:val="22"/>
        </w:rPr>
        <w:t>Evidence grading is a critical but time-intensive step in systematic reviews, meta-analyses, and guideline development. Current workflows often require multiple independent reviewers to manually assess each study, apply complex rubrics, resolve disagreements, and document rationales, which can introduce variability in how evidence is interpreted and graded. This process can be slow, inconsistent, and difficult to reproduce, particularly when different reviewers or review teams assign different judgments to the same studies. An AI approach to bias assessment offers significant potential to improving standardization and transparency by applying predefined rubrics consistently with direct citations across multiple independent runs.</w:t>
      </w:r>
    </w:p>
    <w:p w14:paraId="2A8F96C6" w14:textId="7A595D05" w:rsidR="000158F0" w:rsidRPr="00CC147F" w:rsidRDefault="003331F8" w:rsidP="000158F0">
      <w:pPr>
        <w:rPr>
          <w:rFonts w:ascii="Times New Roman" w:hAnsi="Times New Roman" w:cs="Times New Roman"/>
          <w:b/>
          <w:bCs/>
          <w:sz w:val="22"/>
          <w:szCs w:val="22"/>
        </w:rPr>
      </w:pPr>
      <w:r w:rsidRPr="00CC147F">
        <w:rPr>
          <w:rFonts w:ascii="Times New Roman" w:hAnsi="Times New Roman" w:cs="Times New Roman"/>
          <w:b/>
          <w:bCs/>
          <w:sz w:val="22"/>
          <w:szCs w:val="22"/>
        </w:rPr>
        <w:t>Purpose</w:t>
      </w:r>
    </w:p>
    <w:p w14:paraId="2F87211E" w14:textId="5958C2A4" w:rsidR="00CC147F" w:rsidRPr="00CC147F" w:rsidRDefault="000158F0" w:rsidP="000158F0">
      <w:pPr>
        <w:rPr>
          <w:rFonts w:ascii="Times New Roman" w:hAnsi="Times New Roman" w:cs="Times New Roman"/>
          <w:sz w:val="22"/>
          <w:szCs w:val="22"/>
        </w:rPr>
      </w:pPr>
      <w:r w:rsidRPr="00CC147F">
        <w:rPr>
          <w:rFonts w:ascii="Times New Roman" w:hAnsi="Times New Roman" w:cs="Times New Roman"/>
          <w:sz w:val="22"/>
          <w:szCs w:val="22"/>
        </w:rPr>
        <w:t>The purpose of this</w:t>
      </w:r>
      <w:r w:rsidR="00CC147F" w:rsidRPr="00CC147F">
        <w:rPr>
          <w:rFonts w:ascii="Times New Roman" w:hAnsi="Times New Roman" w:cs="Times New Roman"/>
          <w:sz w:val="22"/>
          <w:szCs w:val="22"/>
        </w:rPr>
        <w:t xml:space="preserve"> </w:t>
      </w:r>
      <w:r w:rsidRPr="00CC147F">
        <w:rPr>
          <w:rFonts w:ascii="Times New Roman" w:hAnsi="Times New Roman" w:cs="Times New Roman"/>
          <w:sz w:val="22"/>
          <w:szCs w:val="22"/>
        </w:rPr>
        <w:t>tool is to assist with evidence appraisal by applying user-specified rubrics to uploaded studies. For individual studies, potential rubric options include Cochrane RoB 2, ROBINS-I, Newcastle-Ottawa Scale, QUADAS-2, or a custom user-uploaded rubric. For body-of-evidence assessment, the tool may also support GRADE criteria.</w:t>
      </w:r>
    </w:p>
    <w:p w14:paraId="50049F4C" w14:textId="247ECCE5" w:rsidR="000158F0" w:rsidRPr="00CC147F" w:rsidRDefault="000158F0" w:rsidP="000158F0">
      <w:pPr>
        <w:rPr>
          <w:rFonts w:ascii="Times New Roman" w:hAnsi="Times New Roman" w:cs="Times New Roman"/>
          <w:sz w:val="22"/>
          <w:szCs w:val="22"/>
        </w:rPr>
      </w:pPr>
      <w:r w:rsidRPr="00CC147F">
        <w:rPr>
          <w:rFonts w:ascii="Times New Roman" w:hAnsi="Times New Roman" w:cs="Times New Roman"/>
          <w:b/>
          <w:bCs/>
          <w:sz w:val="22"/>
          <w:szCs w:val="22"/>
        </w:rPr>
        <w:t xml:space="preserve">Key: </w:t>
      </w:r>
      <w:r w:rsidRPr="00CC147F">
        <w:rPr>
          <w:rFonts w:ascii="Times New Roman" w:hAnsi="Times New Roman" w:cs="Times New Roman"/>
          <w:b/>
          <w:bCs/>
          <w:sz w:val="22"/>
          <w:szCs w:val="22"/>
          <w:u w:val="single"/>
        </w:rPr>
        <w:t>Because rubrics differ by study type and appraisal level, the tool may recommend an appropriate rubric based on study design, but the user will confirm or override the rubric before grading.</w:t>
      </w:r>
      <w:r w:rsidRPr="00CC147F">
        <w:rPr>
          <w:rFonts w:ascii="Times New Roman" w:hAnsi="Times New Roman" w:cs="Times New Roman"/>
          <w:sz w:val="22"/>
          <w:szCs w:val="22"/>
        </w:rPr>
        <w:t xml:space="preserve"> The tool will then generate domain-level judgments, cite specific supporting evidence from each paper, and flag inconsistent or uncertain ratings for human review.</w:t>
      </w:r>
    </w:p>
    <w:p w14:paraId="454E7A5F" w14:textId="77777777" w:rsidR="00CC147F" w:rsidRPr="00CC147F" w:rsidRDefault="00CC147F" w:rsidP="00CC147F">
      <w:pPr>
        <w:rPr>
          <w:rFonts w:ascii="Times New Roman" w:hAnsi="Times New Roman" w:cs="Times New Roman"/>
          <w:b/>
          <w:bCs/>
          <w:sz w:val="22"/>
          <w:szCs w:val="22"/>
        </w:rPr>
      </w:pPr>
      <w:r w:rsidRPr="00CC147F">
        <w:rPr>
          <w:rFonts w:ascii="Times New Roman" w:hAnsi="Times New Roman" w:cs="Times New Roman"/>
          <w:b/>
          <w:bCs/>
          <w:sz w:val="22"/>
          <w:szCs w:val="22"/>
        </w:rPr>
        <w:t>Workflow</w:t>
      </w:r>
    </w:p>
    <w:p w14:paraId="6EB9625B"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User uploads a folder containing PDFs of studies to review. </w:t>
      </w:r>
    </w:p>
    <w:p w14:paraId="58FF20B6"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User selects a grading rubric from available options or uploads a custom rubric. </w:t>
      </w:r>
    </w:p>
    <w:p w14:paraId="4E96D66F"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The tool may identify each study’s design and recommend an appropriate study-level rubric, but the user confirms or overrides the selection before grading. </w:t>
      </w:r>
    </w:p>
    <w:p w14:paraId="0BAD44E2"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AI reviews and grades each paper according to the selected rubric. </w:t>
      </w:r>
    </w:p>
    <w:p w14:paraId="11383C70"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Each paper is graded across multiple independent AI runs, with 10 runs used as the initial proposed setting. </w:t>
      </w:r>
    </w:p>
    <w:p w14:paraId="35736037"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The tool compares outputs across runs and reports consistency between judgments. </w:t>
      </w:r>
    </w:p>
    <w:p w14:paraId="263EFB6B" w14:textId="77777777" w:rsidR="00CC147F" w:rsidRPr="00CC147F" w:rsidRDefault="00CC147F" w:rsidP="00CC147F">
      <w:pPr>
        <w:numPr>
          <w:ilvl w:val="0"/>
          <w:numId w:val="5"/>
        </w:numPr>
        <w:rPr>
          <w:rFonts w:ascii="Times New Roman" w:hAnsi="Times New Roman" w:cs="Times New Roman"/>
          <w:sz w:val="22"/>
          <w:szCs w:val="22"/>
        </w:rPr>
      </w:pPr>
      <w:r w:rsidRPr="00CC147F">
        <w:rPr>
          <w:rFonts w:ascii="Times New Roman" w:hAnsi="Times New Roman" w:cs="Times New Roman"/>
          <w:sz w:val="22"/>
          <w:szCs w:val="22"/>
        </w:rPr>
        <w:t xml:space="preserve">If grading is inconsistent, the user reviews the disagreement and serves as the tie-breaker. </w:t>
      </w:r>
    </w:p>
    <w:p w14:paraId="593FFEC1" w14:textId="77777777" w:rsidR="00CC147F" w:rsidRPr="00CC147F" w:rsidRDefault="00CC147F" w:rsidP="00CC147F">
      <w:pPr>
        <w:rPr>
          <w:rFonts w:ascii="Times New Roman" w:hAnsi="Times New Roman" w:cs="Times New Roman"/>
          <w:sz w:val="22"/>
          <w:szCs w:val="22"/>
        </w:rPr>
      </w:pPr>
      <w:r w:rsidRPr="00CC147F">
        <w:rPr>
          <w:rFonts w:ascii="Times New Roman" w:hAnsi="Times New Roman" w:cs="Times New Roman"/>
          <w:sz w:val="22"/>
          <w:szCs w:val="22"/>
        </w:rPr>
        <w:t>Example:</w:t>
      </w:r>
    </w:p>
    <w:p w14:paraId="071D0583" w14:textId="77777777" w:rsidR="00CC147F" w:rsidRPr="00CC147F" w:rsidRDefault="00CC147F" w:rsidP="00CC147F">
      <w:pPr>
        <w:numPr>
          <w:ilvl w:val="0"/>
          <w:numId w:val="6"/>
        </w:numPr>
        <w:rPr>
          <w:rFonts w:ascii="Times New Roman" w:hAnsi="Times New Roman" w:cs="Times New Roman"/>
          <w:sz w:val="22"/>
          <w:szCs w:val="22"/>
        </w:rPr>
      </w:pPr>
      <w:r w:rsidRPr="00CC147F">
        <w:rPr>
          <w:rFonts w:ascii="Times New Roman" w:hAnsi="Times New Roman" w:cs="Times New Roman"/>
          <w:sz w:val="22"/>
          <w:szCs w:val="22"/>
        </w:rPr>
        <w:t xml:space="preserve">8/10 runs grade a domain as “2” </w:t>
      </w:r>
    </w:p>
    <w:p w14:paraId="7F692C6E" w14:textId="77777777" w:rsidR="00CC147F" w:rsidRPr="00CC147F" w:rsidRDefault="00CC147F" w:rsidP="00CC147F">
      <w:pPr>
        <w:numPr>
          <w:ilvl w:val="0"/>
          <w:numId w:val="6"/>
        </w:numPr>
        <w:rPr>
          <w:rFonts w:ascii="Times New Roman" w:hAnsi="Times New Roman" w:cs="Times New Roman"/>
          <w:sz w:val="22"/>
          <w:szCs w:val="22"/>
        </w:rPr>
      </w:pPr>
      <w:r w:rsidRPr="00CC147F">
        <w:rPr>
          <w:rFonts w:ascii="Times New Roman" w:hAnsi="Times New Roman" w:cs="Times New Roman"/>
          <w:sz w:val="22"/>
          <w:szCs w:val="22"/>
        </w:rPr>
        <w:t xml:space="preserve">2/10 runs grade the same domain as “3” </w:t>
      </w:r>
    </w:p>
    <w:p w14:paraId="00DA80DC" w14:textId="77777777" w:rsidR="00CC147F" w:rsidRPr="00CC147F" w:rsidRDefault="00CC147F" w:rsidP="00CC147F">
      <w:pPr>
        <w:numPr>
          <w:ilvl w:val="0"/>
          <w:numId w:val="6"/>
        </w:numPr>
        <w:rPr>
          <w:rFonts w:ascii="Times New Roman" w:hAnsi="Times New Roman" w:cs="Times New Roman"/>
          <w:sz w:val="22"/>
          <w:szCs w:val="22"/>
        </w:rPr>
      </w:pPr>
      <w:r w:rsidRPr="00CC147F">
        <w:rPr>
          <w:rFonts w:ascii="Times New Roman" w:hAnsi="Times New Roman" w:cs="Times New Roman"/>
          <w:sz w:val="22"/>
          <w:szCs w:val="22"/>
        </w:rPr>
        <w:t xml:space="preserve">User reviews the cited evidence and selects the final grade </w:t>
      </w:r>
    </w:p>
    <w:p w14:paraId="598E2600" w14:textId="77777777" w:rsidR="00CC147F" w:rsidRPr="00CC147F" w:rsidRDefault="00CC147F" w:rsidP="00CC147F">
      <w:pPr>
        <w:rPr>
          <w:rFonts w:ascii="Times New Roman" w:hAnsi="Times New Roman" w:cs="Times New Roman"/>
          <w:sz w:val="22"/>
          <w:szCs w:val="22"/>
        </w:rPr>
      </w:pPr>
      <w:r w:rsidRPr="00CC147F">
        <w:rPr>
          <w:rFonts w:ascii="Times New Roman" w:hAnsi="Times New Roman" w:cs="Times New Roman"/>
          <w:sz w:val="22"/>
          <w:szCs w:val="22"/>
        </w:rPr>
        <w:lastRenderedPageBreak/>
        <w:t>Each judgment includes the assigned grade/rating, direct quotes or specific sentences from the paper, relevant rubric criteria, brief rationale for the judgment, and agreement across AI runs.</w:t>
      </w:r>
    </w:p>
    <w:p w14:paraId="3D54C30A" w14:textId="77777777" w:rsidR="00CC147F" w:rsidRPr="00CC147F" w:rsidRDefault="00CC147F" w:rsidP="00CC147F">
      <w:pPr>
        <w:rPr>
          <w:rFonts w:ascii="Times New Roman" w:hAnsi="Times New Roman" w:cs="Times New Roman"/>
          <w:b/>
          <w:bCs/>
          <w:sz w:val="22"/>
          <w:szCs w:val="22"/>
        </w:rPr>
      </w:pPr>
      <w:r w:rsidRPr="00CC147F">
        <w:rPr>
          <w:rFonts w:ascii="Times New Roman" w:hAnsi="Times New Roman" w:cs="Times New Roman"/>
          <w:sz w:val="22"/>
          <w:szCs w:val="22"/>
        </w:rPr>
        <w:t>After user adjudication, the tool generates a final evidence grading table listing all papers and their final ratings. For GRADE, the tool would generate outcome-level certainty ratings across the body of evidence rather than paper-level grades alone.</w:t>
      </w:r>
    </w:p>
    <w:p w14:paraId="1110C653" w14:textId="77777777" w:rsidR="00CC147F" w:rsidRPr="00CC147F" w:rsidRDefault="00CC147F" w:rsidP="00CC147F">
      <w:pPr>
        <w:rPr>
          <w:rFonts w:ascii="Times New Roman" w:hAnsi="Times New Roman" w:cs="Times New Roman"/>
          <w:b/>
          <w:bCs/>
          <w:sz w:val="22"/>
          <w:szCs w:val="22"/>
        </w:rPr>
      </w:pPr>
      <w:r w:rsidRPr="00CC147F">
        <w:rPr>
          <w:rFonts w:ascii="Times New Roman" w:hAnsi="Times New Roman" w:cs="Times New Roman"/>
          <w:b/>
          <w:bCs/>
          <w:sz w:val="22"/>
          <w:szCs w:val="22"/>
        </w:rPr>
        <w:t>Key Features</w:t>
      </w:r>
    </w:p>
    <w:p w14:paraId="4B9506C3" w14:textId="400A5AA3"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Supports multiple evidence appraisal rubrics, including Cochrane RoB 2, ROBINS-I, Newcastle-Ottawa Scale, GRADE, and custom rubrics. </w:t>
      </w:r>
    </w:p>
    <w:p w14:paraId="2F3151EA"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Distinguishes between study-level appraisal tools and body-of-evidence grading tools. </w:t>
      </w:r>
    </w:p>
    <w:p w14:paraId="12204724"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Runs each paper through multiple independent AI grading attempts to assess judgment consistency. </w:t>
      </w:r>
    </w:p>
    <w:p w14:paraId="7B55EE57"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Flags disagreements across AI runs for human review. </w:t>
      </w:r>
    </w:p>
    <w:p w14:paraId="2AA57DA3"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Uses quoted evidence from each paper to justify ratings. </w:t>
      </w:r>
    </w:p>
    <w:p w14:paraId="29D19DC6"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Uses rubric criteria to explain why each grade was selected. </w:t>
      </w:r>
    </w:p>
    <w:p w14:paraId="699E7A50"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 xml:space="preserve">Produces a final table with paper-level and domain-level grades. </w:t>
      </w:r>
    </w:p>
    <w:p w14:paraId="7FC7308A" w14:textId="77777777" w:rsidR="00CC147F" w:rsidRPr="00CC147F" w:rsidRDefault="00CC147F" w:rsidP="00CC147F">
      <w:pPr>
        <w:numPr>
          <w:ilvl w:val="0"/>
          <w:numId w:val="7"/>
        </w:numPr>
        <w:rPr>
          <w:rFonts w:ascii="Times New Roman" w:hAnsi="Times New Roman" w:cs="Times New Roman"/>
          <w:sz w:val="22"/>
          <w:szCs w:val="22"/>
        </w:rPr>
      </w:pPr>
      <w:r w:rsidRPr="00CC147F">
        <w:rPr>
          <w:rFonts w:ascii="Times New Roman" w:hAnsi="Times New Roman" w:cs="Times New Roman"/>
          <w:sz w:val="22"/>
          <w:szCs w:val="22"/>
        </w:rPr>
        <w:t>For GRADE, produces outcome-level certainty assessments across studies.</w:t>
      </w:r>
    </w:p>
    <w:p w14:paraId="06D3CE61" w14:textId="3CFB3041" w:rsidR="003331F8" w:rsidRPr="003331F8" w:rsidRDefault="003331F8" w:rsidP="003331F8">
      <w:pPr>
        <w:ind w:left="720"/>
        <w:rPr>
          <w:rFonts w:ascii="Times New Roman" w:hAnsi="Times New Roman" w:cs="Times New Roman"/>
          <w:b/>
          <w:bCs/>
          <w:sz w:val="22"/>
          <w:szCs w:val="22"/>
        </w:rPr>
      </w:pPr>
      <w:r w:rsidRPr="00CC147F">
        <w:rPr>
          <w:rFonts w:ascii="Times New Roman" w:hAnsi="Times New Roman" w:cs="Times New Roman"/>
          <w:b/>
          <w:bCs/>
          <w:sz w:val="22"/>
          <w:szCs w:val="22"/>
        </w:rPr>
        <w:t>Optional</w:t>
      </w:r>
    </w:p>
    <w:p w14:paraId="5DF1B792" w14:textId="49BE8DBE" w:rsidR="003331F8" w:rsidRPr="003331F8" w:rsidRDefault="003331F8" w:rsidP="003331F8">
      <w:pPr>
        <w:numPr>
          <w:ilvl w:val="1"/>
          <w:numId w:val="2"/>
        </w:numPr>
        <w:rPr>
          <w:rFonts w:ascii="Times New Roman" w:hAnsi="Times New Roman" w:cs="Times New Roman"/>
          <w:sz w:val="22"/>
          <w:szCs w:val="22"/>
        </w:rPr>
      </w:pPr>
      <w:r w:rsidRPr="003331F8">
        <w:rPr>
          <w:rFonts w:ascii="Times New Roman" w:hAnsi="Times New Roman" w:cs="Times New Roman"/>
          <w:sz w:val="22"/>
          <w:szCs w:val="22"/>
        </w:rPr>
        <w:t xml:space="preserve">May </w:t>
      </w:r>
      <w:r w:rsidR="00AB49A7">
        <w:rPr>
          <w:rFonts w:ascii="Times New Roman" w:hAnsi="Times New Roman" w:cs="Times New Roman"/>
          <w:sz w:val="22"/>
          <w:szCs w:val="22"/>
        </w:rPr>
        <w:t>implement</w:t>
      </w:r>
      <w:r w:rsidRPr="003331F8">
        <w:rPr>
          <w:rFonts w:ascii="Times New Roman" w:hAnsi="Times New Roman" w:cs="Times New Roman"/>
          <w:sz w:val="22"/>
          <w:szCs w:val="22"/>
        </w:rPr>
        <w:t xml:space="preserve"> RAG to retrieve the most relevant paper sections and standardize grading across all papers in the cohort. </w:t>
      </w:r>
    </w:p>
    <w:p w14:paraId="636417B7" w14:textId="4F237EC9" w:rsidR="003331F8" w:rsidRPr="00CC147F" w:rsidRDefault="003331F8" w:rsidP="003331F8">
      <w:pPr>
        <w:numPr>
          <w:ilvl w:val="1"/>
          <w:numId w:val="2"/>
        </w:numPr>
        <w:rPr>
          <w:rFonts w:ascii="Times New Roman" w:hAnsi="Times New Roman" w:cs="Times New Roman"/>
          <w:sz w:val="22"/>
          <w:szCs w:val="22"/>
        </w:rPr>
      </w:pPr>
      <w:r w:rsidRPr="003331F8">
        <w:rPr>
          <w:rFonts w:ascii="Times New Roman" w:hAnsi="Times New Roman" w:cs="Times New Roman"/>
          <w:sz w:val="22"/>
          <w:szCs w:val="22"/>
        </w:rPr>
        <w:t>May include an AI agreement or run-stability score</w:t>
      </w:r>
    </w:p>
    <w:p w14:paraId="0F39AC18" w14:textId="6E91D21E" w:rsidR="00CC147F" w:rsidRPr="00CC147F" w:rsidRDefault="00CC147F" w:rsidP="0031235A">
      <w:pPr>
        <w:tabs>
          <w:tab w:val="center" w:pos="4680"/>
        </w:tabs>
        <w:rPr>
          <w:rFonts w:ascii="Times New Roman" w:hAnsi="Times New Roman" w:cs="Times New Roman"/>
          <w:b/>
          <w:bCs/>
          <w:sz w:val="22"/>
          <w:szCs w:val="22"/>
        </w:rPr>
      </w:pPr>
      <w:r w:rsidRPr="00CC147F">
        <w:rPr>
          <w:rFonts w:ascii="Times New Roman" w:hAnsi="Times New Roman" w:cs="Times New Roman"/>
          <w:b/>
          <w:bCs/>
          <w:sz w:val="22"/>
          <w:szCs w:val="22"/>
        </w:rPr>
        <w:t>Rubrics</w:t>
      </w:r>
      <w:r w:rsidR="0031235A">
        <w:rPr>
          <w:rFonts w:ascii="Times New Roman" w:hAnsi="Times New Roman" w:cs="Times New Roman"/>
          <w:b/>
          <w:bCs/>
          <w:sz w:val="22"/>
          <w:szCs w:val="22"/>
        </w:rPr>
        <w:tab/>
      </w:r>
    </w:p>
    <w:p w14:paraId="328BCBDE" w14:textId="77777777" w:rsidR="00CC147F" w:rsidRPr="00CC147F" w:rsidRDefault="00CC147F" w:rsidP="00CC147F">
      <w:pPr>
        <w:numPr>
          <w:ilvl w:val="0"/>
          <w:numId w:val="8"/>
        </w:numPr>
        <w:rPr>
          <w:rFonts w:ascii="Times New Roman" w:hAnsi="Times New Roman" w:cs="Times New Roman"/>
          <w:sz w:val="22"/>
          <w:szCs w:val="22"/>
        </w:rPr>
      </w:pPr>
      <w:r w:rsidRPr="00CC147F">
        <w:rPr>
          <w:rFonts w:ascii="Times New Roman" w:hAnsi="Times New Roman" w:cs="Times New Roman"/>
          <w:sz w:val="22"/>
          <w:szCs w:val="22"/>
        </w:rPr>
        <w:t xml:space="preserve">Cochrane RoB 2: risk of bias in randomized controlled trials </w:t>
      </w:r>
    </w:p>
    <w:p w14:paraId="3818D180" w14:textId="77777777" w:rsidR="00CC147F" w:rsidRPr="00CC147F" w:rsidRDefault="00CC147F" w:rsidP="00CC147F">
      <w:pPr>
        <w:numPr>
          <w:ilvl w:val="0"/>
          <w:numId w:val="8"/>
        </w:numPr>
        <w:rPr>
          <w:rFonts w:ascii="Times New Roman" w:hAnsi="Times New Roman" w:cs="Times New Roman"/>
          <w:sz w:val="22"/>
          <w:szCs w:val="22"/>
        </w:rPr>
      </w:pPr>
      <w:r w:rsidRPr="00CC147F">
        <w:rPr>
          <w:rFonts w:ascii="Times New Roman" w:hAnsi="Times New Roman" w:cs="Times New Roman"/>
          <w:sz w:val="22"/>
          <w:szCs w:val="22"/>
        </w:rPr>
        <w:t xml:space="preserve">ROBINS-I: risk of bias in non-randomized intervention studies </w:t>
      </w:r>
    </w:p>
    <w:p w14:paraId="2B29EAC7" w14:textId="77777777" w:rsidR="00CC147F" w:rsidRPr="00CC147F" w:rsidRDefault="00CC147F" w:rsidP="00CC147F">
      <w:pPr>
        <w:numPr>
          <w:ilvl w:val="0"/>
          <w:numId w:val="8"/>
        </w:numPr>
        <w:rPr>
          <w:rFonts w:ascii="Times New Roman" w:hAnsi="Times New Roman" w:cs="Times New Roman"/>
          <w:sz w:val="22"/>
          <w:szCs w:val="22"/>
        </w:rPr>
      </w:pPr>
      <w:r w:rsidRPr="00CC147F">
        <w:rPr>
          <w:rFonts w:ascii="Times New Roman" w:hAnsi="Times New Roman" w:cs="Times New Roman"/>
          <w:sz w:val="22"/>
          <w:szCs w:val="22"/>
        </w:rPr>
        <w:t xml:space="preserve">Newcastle-Ottawa Scale: quality/risk-of-bias appraisal for observational cohort and case-control studies </w:t>
      </w:r>
    </w:p>
    <w:p w14:paraId="3608169A" w14:textId="77777777" w:rsidR="00CC147F" w:rsidRPr="00CC147F" w:rsidRDefault="00CC147F" w:rsidP="00CC147F">
      <w:pPr>
        <w:numPr>
          <w:ilvl w:val="0"/>
          <w:numId w:val="8"/>
        </w:numPr>
        <w:rPr>
          <w:rFonts w:ascii="Times New Roman" w:hAnsi="Times New Roman" w:cs="Times New Roman"/>
          <w:sz w:val="22"/>
          <w:szCs w:val="22"/>
        </w:rPr>
      </w:pPr>
      <w:r w:rsidRPr="00CC147F">
        <w:rPr>
          <w:rFonts w:ascii="Times New Roman" w:hAnsi="Times New Roman" w:cs="Times New Roman"/>
          <w:sz w:val="22"/>
          <w:szCs w:val="22"/>
        </w:rPr>
        <w:t xml:space="preserve">GRADE: certainty of the overall body of evidence for a specific outcome </w:t>
      </w:r>
    </w:p>
    <w:p w14:paraId="6F57D1B6" w14:textId="77777777" w:rsidR="00CC147F" w:rsidRPr="00CC147F" w:rsidRDefault="00CC147F" w:rsidP="00CC147F">
      <w:pPr>
        <w:numPr>
          <w:ilvl w:val="0"/>
          <w:numId w:val="8"/>
        </w:numPr>
        <w:rPr>
          <w:rFonts w:ascii="Times New Roman" w:hAnsi="Times New Roman" w:cs="Times New Roman"/>
          <w:sz w:val="22"/>
          <w:szCs w:val="22"/>
        </w:rPr>
      </w:pPr>
      <w:r w:rsidRPr="00CC147F">
        <w:rPr>
          <w:rFonts w:ascii="Times New Roman" w:hAnsi="Times New Roman" w:cs="Times New Roman"/>
          <w:sz w:val="22"/>
          <w:szCs w:val="22"/>
        </w:rPr>
        <w:t xml:space="preserve">Custom rubric: user-defined criteria for study-level or outcome-level appraisal </w:t>
      </w:r>
    </w:p>
    <w:p w14:paraId="1BF34BB2" w14:textId="683F05C7" w:rsidR="000158F0" w:rsidRPr="00CC147F" w:rsidRDefault="00CC147F" w:rsidP="00CC147F">
      <w:pPr>
        <w:rPr>
          <w:rFonts w:ascii="Times New Roman" w:hAnsi="Times New Roman" w:cs="Times New Roman"/>
          <w:sz w:val="22"/>
          <w:szCs w:val="22"/>
        </w:rPr>
      </w:pPr>
      <w:r w:rsidRPr="00CC147F">
        <w:rPr>
          <w:rFonts w:ascii="Times New Roman" w:hAnsi="Times New Roman" w:cs="Times New Roman"/>
          <w:sz w:val="22"/>
          <w:szCs w:val="22"/>
        </w:rPr>
        <w:t xml:space="preserve">Key distinction: RoB 2, ROBINS-I, </w:t>
      </w:r>
      <w:r w:rsidR="00155D80">
        <w:rPr>
          <w:rFonts w:ascii="Times New Roman" w:hAnsi="Times New Roman" w:cs="Times New Roman"/>
          <w:sz w:val="22"/>
          <w:szCs w:val="22"/>
        </w:rPr>
        <w:t xml:space="preserve">and </w:t>
      </w:r>
      <w:r w:rsidRPr="00CC147F">
        <w:rPr>
          <w:rFonts w:ascii="Times New Roman" w:hAnsi="Times New Roman" w:cs="Times New Roman"/>
          <w:sz w:val="22"/>
          <w:szCs w:val="22"/>
        </w:rPr>
        <w:t>Newcastle-Ottawa</w:t>
      </w:r>
      <w:r w:rsidR="00155D80">
        <w:rPr>
          <w:rFonts w:ascii="Times New Roman" w:hAnsi="Times New Roman" w:cs="Times New Roman"/>
          <w:sz w:val="22"/>
          <w:szCs w:val="22"/>
        </w:rPr>
        <w:t xml:space="preserve"> </w:t>
      </w:r>
      <w:r w:rsidRPr="00CC147F">
        <w:rPr>
          <w:rFonts w:ascii="Times New Roman" w:hAnsi="Times New Roman" w:cs="Times New Roman"/>
          <w:sz w:val="22"/>
          <w:szCs w:val="22"/>
        </w:rPr>
        <w:t>are primarily used to assess individual studies, while GRADE is used to assess certainty across the overall body of evidence for a specific outcome.</w:t>
      </w:r>
    </w:p>
    <w:sectPr w:rsidR="000158F0" w:rsidRPr="00CC1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55B"/>
    <w:multiLevelType w:val="multilevel"/>
    <w:tmpl w:val="9884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45F8"/>
    <w:multiLevelType w:val="multilevel"/>
    <w:tmpl w:val="0312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D2FF5"/>
    <w:multiLevelType w:val="multilevel"/>
    <w:tmpl w:val="1C0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96FD7"/>
    <w:multiLevelType w:val="multilevel"/>
    <w:tmpl w:val="CD249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426B5"/>
    <w:multiLevelType w:val="hybridMultilevel"/>
    <w:tmpl w:val="3CB4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C47828"/>
    <w:multiLevelType w:val="multilevel"/>
    <w:tmpl w:val="B81C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27C9C"/>
    <w:multiLevelType w:val="multilevel"/>
    <w:tmpl w:val="9B1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31EFF"/>
    <w:multiLevelType w:val="multilevel"/>
    <w:tmpl w:val="8DA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861394">
    <w:abstractNumId w:val="1"/>
  </w:num>
  <w:num w:numId="2" w16cid:durableId="1289896517">
    <w:abstractNumId w:val="3"/>
  </w:num>
  <w:num w:numId="3" w16cid:durableId="396055709">
    <w:abstractNumId w:val="0"/>
  </w:num>
  <w:num w:numId="4" w16cid:durableId="1107846125">
    <w:abstractNumId w:val="4"/>
  </w:num>
  <w:num w:numId="5" w16cid:durableId="613252513">
    <w:abstractNumId w:val="5"/>
  </w:num>
  <w:num w:numId="6" w16cid:durableId="1573081119">
    <w:abstractNumId w:val="6"/>
  </w:num>
  <w:num w:numId="7" w16cid:durableId="1656836402">
    <w:abstractNumId w:val="2"/>
  </w:num>
  <w:num w:numId="8" w16cid:durableId="1931430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F8"/>
    <w:rsid w:val="000158F0"/>
    <w:rsid w:val="00015F5B"/>
    <w:rsid w:val="00155D80"/>
    <w:rsid w:val="00205E1F"/>
    <w:rsid w:val="00236EE3"/>
    <w:rsid w:val="002479FE"/>
    <w:rsid w:val="0031235A"/>
    <w:rsid w:val="003331F8"/>
    <w:rsid w:val="006A1209"/>
    <w:rsid w:val="007D3936"/>
    <w:rsid w:val="00AB49A7"/>
    <w:rsid w:val="00CC147F"/>
    <w:rsid w:val="00DD36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3581"/>
  <w15:chartTrackingRefBased/>
  <w15:docId w15:val="{70856A46-D92A-4153-8890-B789493A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F8"/>
    <w:rPr>
      <w:rFonts w:eastAsiaTheme="majorEastAsia" w:cstheme="majorBidi"/>
      <w:color w:val="272727" w:themeColor="text1" w:themeTint="D8"/>
    </w:rPr>
  </w:style>
  <w:style w:type="paragraph" w:styleId="Title">
    <w:name w:val="Title"/>
    <w:basedOn w:val="Normal"/>
    <w:next w:val="Normal"/>
    <w:link w:val="TitleChar"/>
    <w:uiPriority w:val="10"/>
    <w:qFormat/>
    <w:rsid w:val="00333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F8"/>
    <w:pPr>
      <w:spacing w:before="160"/>
      <w:jc w:val="center"/>
    </w:pPr>
    <w:rPr>
      <w:i/>
      <w:iCs/>
      <w:color w:val="404040" w:themeColor="text1" w:themeTint="BF"/>
    </w:rPr>
  </w:style>
  <w:style w:type="character" w:customStyle="1" w:styleId="QuoteChar">
    <w:name w:val="Quote Char"/>
    <w:basedOn w:val="DefaultParagraphFont"/>
    <w:link w:val="Quote"/>
    <w:uiPriority w:val="29"/>
    <w:rsid w:val="003331F8"/>
    <w:rPr>
      <w:i/>
      <w:iCs/>
      <w:color w:val="404040" w:themeColor="text1" w:themeTint="BF"/>
    </w:rPr>
  </w:style>
  <w:style w:type="paragraph" w:styleId="ListParagraph">
    <w:name w:val="List Paragraph"/>
    <w:basedOn w:val="Normal"/>
    <w:uiPriority w:val="34"/>
    <w:qFormat/>
    <w:rsid w:val="003331F8"/>
    <w:pPr>
      <w:ind w:left="720"/>
      <w:contextualSpacing/>
    </w:pPr>
  </w:style>
  <w:style w:type="character" w:styleId="IntenseEmphasis">
    <w:name w:val="Intense Emphasis"/>
    <w:basedOn w:val="DefaultParagraphFont"/>
    <w:uiPriority w:val="21"/>
    <w:qFormat/>
    <w:rsid w:val="003331F8"/>
    <w:rPr>
      <w:i/>
      <w:iCs/>
      <w:color w:val="0F4761" w:themeColor="accent1" w:themeShade="BF"/>
    </w:rPr>
  </w:style>
  <w:style w:type="paragraph" w:styleId="IntenseQuote">
    <w:name w:val="Intense Quote"/>
    <w:basedOn w:val="Normal"/>
    <w:next w:val="Normal"/>
    <w:link w:val="IntenseQuoteChar"/>
    <w:uiPriority w:val="30"/>
    <w:qFormat/>
    <w:rsid w:val="00333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1F8"/>
    <w:rPr>
      <w:i/>
      <w:iCs/>
      <w:color w:val="0F4761" w:themeColor="accent1" w:themeShade="BF"/>
    </w:rPr>
  </w:style>
  <w:style w:type="character" w:styleId="IntenseReference">
    <w:name w:val="Intense Reference"/>
    <w:basedOn w:val="DefaultParagraphFont"/>
    <w:uiPriority w:val="32"/>
    <w:qFormat/>
    <w:rsid w:val="00333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Lee</dc:creator>
  <cp:keywords/>
  <dc:description/>
  <cp:lastModifiedBy>John Lee</cp:lastModifiedBy>
  <cp:revision>7</cp:revision>
  <dcterms:created xsi:type="dcterms:W3CDTF">2026-05-05T02:31:00Z</dcterms:created>
  <dcterms:modified xsi:type="dcterms:W3CDTF">2026-05-05T02:46:00Z</dcterms:modified>
</cp:coreProperties>
</file>