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2E74B5"/>
          <w:sz w:val="20"/>
        </w:rPr>
        <w:t>CREATIVE RISK POLICY</w:t>
      </w:r>
    </w:p>
    <w:p>
      <w:pPr>
        <w:spacing w:before="0" w:after="100"/>
      </w:pPr>
      <w:r>
        <w:rPr>
          <w:rFonts w:ascii="Calibri" w:hAnsi="Calibri"/>
          <w:b/>
          <w:color w:val="17251F"/>
          <w:sz w:val="50"/>
        </w:rPr>
        <w:t>CheeTA Creative IP &amp; Personality Guardrails</w:t>
      </w:r>
    </w:p>
    <w:p>
      <w:pPr>
        <w:spacing w:before="0" w:after="300"/>
      </w:pPr>
      <w:r>
        <w:rPr>
          <w:rFonts w:ascii="Calibri" w:hAnsi="Calibri"/>
          <w:color w:val="5A636B"/>
          <w:sz w:val="26"/>
        </w:rPr>
        <w:t>No-license baseline for crime-caper presentation, block-built character art, and creator-culture archetypes</w:t>
      </w:r>
    </w:p>
    <w:p>
      <w:pPr>
        <w:spacing w:after="40" w:line="252" w:lineRule="auto"/>
      </w:pPr>
      <w:r>
        <w:rPr>
          <w:rFonts w:ascii="Calibri" w:hAnsi="Calibri"/>
          <w:b/>
          <w:color w:val="17251F"/>
          <w:sz w:val="20"/>
        </w:rPr>
        <w:t xml:space="preserve">Status: </w:t>
      </w:r>
      <w:r>
        <w:rPr>
          <w:rFonts w:ascii="Calibri" w:hAnsi="Calibri"/>
          <w:color w:val="17251F"/>
          <w:sz w:val="20"/>
        </w:rPr>
        <w:t>Adopt for concepting and production until superseded by written licenses and counsel review</w:t>
      </w:r>
    </w:p>
    <w:p>
      <w:pPr>
        <w:spacing w:after="40" w:line="252" w:lineRule="auto"/>
      </w:pPr>
      <w:r>
        <w:rPr>
          <w:rFonts w:ascii="Calibri" w:hAnsi="Calibri"/>
          <w:b/>
          <w:color w:val="17251F"/>
          <w:sz w:val="20"/>
        </w:rPr>
        <w:t xml:space="preserve">Version: </w:t>
      </w:r>
      <w:r>
        <w:rPr>
          <w:rFonts w:ascii="Calibri" w:hAnsi="Calibri"/>
          <w:color w:val="17251F"/>
          <w:sz w:val="20"/>
        </w:rPr>
        <w:t>1.0 • August 11, 2026</w:t>
      </w:r>
    </w:p>
    <w:p>
      <w:pPr>
        <w:spacing w:after="40" w:line="252" w:lineRule="auto"/>
      </w:pPr>
      <w:r>
        <w:rPr>
          <w:rFonts w:ascii="Calibri" w:hAnsi="Calibri"/>
          <w:b/>
          <w:color w:val="17251F"/>
          <w:sz w:val="20"/>
        </w:rPr>
        <w:t xml:space="preserve">Applies to: </w:t>
      </w:r>
      <w:r>
        <w:rPr>
          <w:rFonts w:ascii="Calibri" w:hAnsi="Calibri"/>
          <w:color w:val="17251F"/>
          <w:sz w:val="20"/>
        </w:rPr>
        <w:t>Game, app icon, store metadata, screenshots, trailers, social posts, merchandise, and press</w:t>
      </w:r>
    </w:p>
    <w:p>
      <w:pPr>
        <w:spacing w:after="40" w:line="252" w:lineRule="auto"/>
      </w:pPr>
      <w:r>
        <w:rPr>
          <w:rFonts w:ascii="Calibri" w:hAnsi="Calibri"/>
          <w:b/>
          <w:color w:val="17251F"/>
          <w:sz w:val="20"/>
        </w:rPr>
        <w:t xml:space="preserve">Scope: </w:t>
      </w:r>
      <w:r>
        <w:rPr>
          <w:rFonts w:ascii="Calibri" w:hAnsi="Calibri"/>
          <w:color w:val="17251F"/>
          <w:sz w:val="20"/>
        </w:rPr>
        <w:t>U.S.-first working policy; jurisdiction-specific review remains required before release</w:t>
      </w:r>
    </w:p>
    <w:p>
      <w:pPr>
        <w:spacing w:after="40"/>
      </w:pPr>
    </w:p>
    <w:tbl>
      <w:tblPr>
        <w:tblW w:type="dxa" w:w="9360"/>
        <w:jc w:val="left"/>
        <w:tblLayout w:type="fixed"/>
        <w:tblLook w:firstColumn="1" w:firstRow="1" w:lastColumn="0" w:lastRow="0" w:noHBand="0" w:noVBand="1" w:val="04A0"/>
        <w:tblInd w:w="120" w:type="dxa"/>
        <w:tblBorders>
          <w:top w:val="single" w:sz="8" w:space="0" w:color="EAF2ED"/>
          <w:left w:val="single" w:sz="8" w:space="0" w:color="EAF2ED"/>
          <w:bottom w:val="single" w:sz="8" w:space="0" w:color="EAF2ED"/>
          <w:right w:val="single" w:sz="8" w:space="0" w:color="EAF2ED"/>
          <w:insideH w:val="single" w:sz="8" w:space="0" w:color="EAF2ED"/>
          <w:insideV w:val="single" w:sz="8" w:space="0" w:color="EAF2ED"/>
        </w:tblBorders>
      </w:tblPr>
      <w:tblGrid>
        <w:gridCol w:w="9360"/>
      </w:tblGrid>
      <w:tr>
        <w:trPr>
          <w:cantSplit/>
        </w:trPr>
        <w:tc>
          <w:tcPr>
            <w:tcW w:type="dxa" w:w="9360"/>
            <w:tcMar>
              <w:top w:w="80" w:type="dxa"/>
              <w:start w:w="120" w:type="dxa"/>
              <w:bottom w:w="80" w:type="dxa"/>
              <w:end w:w="120" w:type="dxa"/>
            </w:tcMar>
            <w:vAlign w:val="center"/>
            <w:shd w:fill="EAF2ED"/>
          </w:tcPr>
          <w:p>
            <w:pPr>
              <w:spacing w:before="40" w:after="40" w:line="288" w:lineRule="auto"/>
            </w:pPr>
            <w:r>
              <w:rPr>
                <w:b/>
                <w:color w:val="1F4D78"/>
              </w:rPr>
              <w:t xml:space="preserve">Decision  </w:t>
            </w:r>
            <w:r>
              <w:t>CheeTA may evoke broad genre energy, but it will not reproduce or invite recognition of GTA, Minecraft, or any real creator unless the relevant rights are secured in writing. The release test is: “Does this feel unmistakably like CheeTA?”—not “Will fans get the reference?”</w:t>
            </w:r>
          </w:p>
        </w:tc>
      </w:tr>
    </w:tbl>
    <w:p>
      <w:pPr>
        <w:spacing w:after="0"/>
      </w:pPr>
    </w:p>
    <w:p>
      <w:pPr>
        <w:pStyle w:val="Heading1"/>
      </w:pPr>
      <w:r>
        <w:t>1. The posture we are adopting</w:t>
      </w:r>
    </w:p>
    <w:p>
      <w:r>
        <w:t>This policy establishes a low-risk, no-license baseline. It is deliberately more conservative than the outer boundary of fair use or parody because the product is intended for commercial distribution, the inspirations are highly recognizable entertainment brands, and the proposed characters are tied to real people. No document can guarantee that a third party will not object; this policy reduces avoidable risk and creates a clean path for final legal clearance.</w:t>
      </w:r>
    </w:p>
    <w:p>
      <w:pPr>
        <w:pStyle w:val="Heading2"/>
      </w:pPr>
      <w:r>
        <w:t>The one-sentence creative rule</w:t>
      </w:r>
    </w:p>
    <w:tbl>
      <w:tblPr>
        <w:tblW w:type="dxa" w:w="9360"/>
        <w:jc w:val="left"/>
        <w:tblLayout w:type="fixed"/>
        <w:tblLook w:firstColumn="1" w:firstRow="1" w:lastColumn="0" w:lastRow="0" w:noHBand="0" w:noVBand="1" w:val="04A0"/>
        <w:tblInd w:w="120" w:type="dxa"/>
        <w:tblBorders>
          <w:top w:val="single" w:sz="8" w:space="0" w:color="F4F6F9"/>
          <w:left w:val="single" w:sz="8" w:space="0" w:color="F4F6F9"/>
          <w:bottom w:val="single" w:sz="8" w:space="0" w:color="F4F6F9"/>
          <w:right w:val="single" w:sz="8" w:space="0" w:color="F4F6F9"/>
          <w:insideH w:val="single" w:sz="8" w:space="0" w:color="F4F6F9"/>
          <w:insideV w:val="single" w:sz="8" w:space="0" w:color="F4F6F9"/>
        </w:tblBorders>
      </w:tblPr>
      <w:tblGrid>
        <w:gridCol w:w="9360"/>
      </w:tblGrid>
      <w:tr>
        <w:trPr>
          <w:cantSplit/>
        </w:trPr>
        <w:tc>
          <w:tcPr>
            <w:tcW w:type="dxa" w:w="9360"/>
            <w:tcMar>
              <w:top w:w="80" w:type="dxa"/>
              <w:start w:w="120" w:type="dxa"/>
              <w:bottom w:w="80" w:type="dxa"/>
              <w:end w:w="120" w:type="dxa"/>
            </w:tcMar>
            <w:vAlign w:val="center"/>
            <w:shd w:fill="F4F6F9"/>
          </w:tcPr>
          <w:p>
            <w:pPr>
              <w:spacing w:before="40" w:after="40" w:line="288" w:lineRule="auto"/>
            </w:pPr>
            <w:r>
              <w:rPr>
                <w:b/>
                <w:color w:val="1F4D78"/>
              </w:rPr>
              <w:t xml:space="preserve">Evoke the category; invent the expression.  </w:t>
            </w:r>
            <w:r>
              <w:t>Use high-level ingredients—urban-caper confidence, editorial drama, block-built geometry, online-creator energy—but create every name, silhouette, face, outfit, texture, sound, line of copy, animation, and interface composition from an original CheeTA brief.</w:t>
            </w:r>
          </w:p>
        </w:tc>
      </w:tr>
    </w:tbl>
    <w:p>
      <w:pPr>
        <w:spacing w:after="0"/>
      </w:pPr>
    </w:p>
    <w:p>
      <w:r>
        <w:br w:type="page"/>
      </w:r>
    </w:p>
    <w:p>
      <w:pPr>
        <w:pStyle w:val="Heading2"/>
      </w:pPr>
      <w:r>
        <w:t>Adopted level of embrace</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500"/>
        <w:gridCol w:w="1200"/>
        <w:gridCol w:w="3000"/>
        <w:gridCol w:w="3660"/>
      </w:tblGrid>
      <w:tr>
        <w:trPr>
          <w:tblHeader w:val="true"/>
          <w:cantSplit/>
        </w:trPr>
        <w:tc>
          <w:tcPr>
            <w:tcW w:type="dxa" w:w="1500"/>
            <w:tcMar>
              <w:top w:w="80" w:type="dxa"/>
              <w:start w:w="120" w:type="dxa"/>
              <w:bottom w:w="80" w:type="dxa"/>
              <w:end w:w="120" w:type="dxa"/>
            </w:tcMar>
            <w:vAlign w:val="center"/>
            <w:shd w:fill="E8EEF5"/>
          </w:tcPr>
          <w:p>
            <w:pPr>
              <w:spacing w:before="0" w:after="40" w:line="276" w:lineRule="auto"/>
            </w:pPr>
            <w:r>
              <w:rPr>
                <w:rFonts w:ascii="Calibri" w:hAnsi="Calibri"/>
                <w:b/>
                <w:color w:val="000000"/>
                <w:sz w:val="19"/>
              </w:rPr>
              <w:t>Influence</w:t>
            </w:r>
          </w:p>
        </w:tc>
        <w:tc>
          <w:tcPr>
            <w:tcW w:type="dxa" w:w="1200"/>
            <w:tcMar>
              <w:top w:w="80" w:type="dxa"/>
              <w:start w:w="120" w:type="dxa"/>
              <w:bottom w:w="80" w:type="dxa"/>
              <w:end w:w="120" w:type="dxa"/>
            </w:tcMar>
            <w:vAlign w:val="center"/>
            <w:shd w:fill="E8EEF5"/>
          </w:tcPr>
          <w:p>
            <w:pPr>
              <w:spacing w:before="0" w:after="40" w:line="276" w:lineRule="auto"/>
            </w:pPr>
            <w:r>
              <w:rPr>
                <w:rFonts w:ascii="Calibri" w:hAnsi="Calibri"/>
                <w:b/>
                <w:color w:val="000000"/>
                <w:sz w:val="19"/>
              </w:rPr>
              <w:t>No-license level</w:t>
            </w:r>
          </w:p>
        </w:tc>
        <w:tc>
          <w:tcPr>
            <w:tcW w:type="dxa" w:w="3000"/>
            <w:tcMar>
              <w:top w:w="80" w:type="dxa"/>
              <w:start w:w="120" w:type="dxa"/>
              <w:bottom w:w="80" w:type="dxa"/>
              <w:end w:w="120" w:type="dxa"/>
            </w:tcMar>
            <w:vAlign w:val="center"/>
            <w:shd w:fill="E8EEF5"/>
          </w:tcPr>
          <w:p>
            <w:pPr>
              <w:spacing w:before="0" w:after="40" w:line="276" w:lineRule="auto"/>
            </w:pPr>
            <w:r>
              <w:rPr>
                <w:rFonts w:ascii="Calibri" w:hAnsi="Calibri"/>
                <w:b/>
                <w:color w:val="000000"/>
                <w:sz w:val="19"/>
              </w:rPr>
              <w:t>What that means</w:t>
            </w:r>
          </w:p>
        </w:tc>
        <w:tc>
          <w:tcPr>
            <w:tcW w:type="dxa" w:w="3660"/>
            <w:tcMar>
              <w:top w:w="80" w:type="dxa"/>
              <w:start w:w="120" w:type="dxa"/>
              <w:bottom w:w="80" w:type="dxa"/>
              <w:end w:w="120" w:type="dxa"/>
            </w:tcMar>
            <w:vAlign w:val="center"/>
            <w:shd w:fill="E8EEF5"/>
          </w:tcPr>
          <w:p>
            <w:pPr>
              <w:spacing w:before="0" w:after="40" w:line="276" w:lineRule="auto"/>
            </w:pPr>
            <w:r>
              <w:rPr>
                <w:rFonts w:ascii="Calibri" w:hAnsi="Calibri"/>
                <w:b/>
                <w:color w:val="000000"/>
                <w:sz w:val="19"/>
              </w:rPr>
              <w:t>Hard boundary</w:t>
            </w:r>
          </w:p>
        </w:tc>
      </w:tr>
      <w:tr>
        <w:trPr>
          <w:cantSplit/>
        </w:trPr>
        <w:tc>
          <w:tcPr>
            <w:tcW w:type="dxa" w:w="1500"/>
            <w:tcMar>
              <w:top w:w="80" w:type="dxa"/>
              <w:start w:w="120" w:type="dxa"/>
              <w:bottom w:w="80" w:type="dxa"/>
              <w:end w:w="120" w:type="dxa"/>
            </w:tcMar>
            <w:vAlign w:val="center"/>
          </w:tcPr>
          <w:p>
            <w:pPr>
              <w:spacing w:before="0" w:after="40" w:line="276" w:lineRule="auto"/>
            </w:pPr>
            <w:r>
              <w:rPr>
                <w:rFonts w:ascii="Calibri" w:hAnsi="Calibri"/>
                <w:b w:val="0"/>
                <w:color w:val="000000"/>
                <w:sz w:val="19"/>
              </w:rPr>
              <w:t>GTA</w:t>
            </w:r>
          </w:p>
        </w:tc>
        <w:tc>
          <w:tcPr>
            <w:tcW w:type="dxa" w:w="1200"/>
            <w:tcMar>
              <w:top w:w="80" w:type="dxa"/>
              <w:start w:w="120" w:type="dxa"/>
              <w:bottom w:w="80" w:type="dxa"/>
              <w:end w:w="120" w:type="dxa"/>
            </w:tcMar>
            <w:vAlign w:val="center"/>
          </w:tcPr>
          <w:p>
            <w:pPr>
              <w:spacing w:before="0" w:after="40" w:line="276" w:lineRule="auto"/>
            </w:pPr>
            <w:r>
              <w:rPr>
                <w:rFonts w:ascii="Calibri" w:hAnsi="Calibri"/>
                <w:b w:val="0"/>
                <w:color w:val="000000"/>
                <w:sz w:val="19"/>
              </w:rPr>
              <w:t>2 of 5</w:t>
            </w:r>
          </w:p>
        </w:tc>
        <w:tc>
          <w:tcPr>
            <w:tcW w:type="dxa" w:w="3000"/>
            <w:tcMar>
              <w:top w:w="80" w:type="dxa"/>
              <w:start w:w="120" w:type="dxa"/>
              <w:bottom w:w="80" w:type="dxa"/>
              <w:end w:w="120" w:type="dxa"/>
            </w:tcMar>
            <w:vAlign w:val="center"/>
          </w:tcPr>
          <w:p>
            <w:pPr>
              <w:spacing w:before="0" w:after="40" w:line="276" w:lineRule="auto"/>
            </w:pPr>
            <w:r>
              <w:rPr>
                <w:rFonts w:ascii="Calibri" w:hAnsi="Calibri"/>
                <w:b w:val="0"/>
                <w:color w:val="000000"/>
                <w:sz w:val="19"/>
              </w:rPr>
              <w:t>Genre energy and pacing only; independently designed presentation.</w:t>
            </w:r>
          </w:p>
        </w:tc>
        <w:tc>
          <w:tcPr>
            <w:tcW w:type="dxa" w:w="3660"/>
            <w:tcMar>
              <w:top w:w="80" w:type="dxa"/>
              <w:start w:w="120" w:type="dxa"/>
              <w:bottom w:w="80" w:type="dxa"/>
              <w:end w:w="120" w:type="dxa"/>
            </w:tcMar>
            <w:vAlign w:val="center"/>
          </w:tcPr>
          <w:p>
            <w:pPr>
              <w:spacing w:before="0" w:after="40" w:line="276" w:lineRule="auto"/>
            </w:pPr>
            <w:r>
              <w:rPr>
                <w:rFonts w:ascii="Calibri" w:hAnsi="Calibri"/>
                <w:b w:val="0"/>
                <w:color w:val="000000"/>
                <w:sz w:val="19"/>
              </w:rPr>
              <w:t>No names, logos, signature UI, phrases, compositions, maps, characters, music, or soundalikes.</w:t>
            </w:r>
          </w:p>
        </w:tc>
      </w:tr>
      <w:tr>
        <w:trPr>
          <w:cantSplit/>
        </w:trPr>
        <w:tc>
          <w:tcPr>
            <w:tcW w:type="dxa" w:w="1500"/>
            <w:tcMar>
              <w:top w:w="80" w:type="dxa"/>
              <w:start w:w="120" w:type="dxa"/>
              <w:bottom w:w="80" w:type="dxa"/>
              <w:end w:w="120" w:type="dxa"/>
            </w:tcMar>
            <w:vAlign w:val="center"/>
          </w:tcPr>
          <w:p>
            <w:pPr>
              <w:spacing w:before="0" w:after="40" w:line="276" w:lineRule="auto"/>
            </w:pPr>
            <w:r>
              <w:rPr>
                <w:rFonts w:ascii="Calibri" w:hAnsi="Calibri"/>
                <w:b w:val="0"/>
                <w:color w:val="000000"/>
                <w:sz w:val="19"/>
              </w:rPr>
              <w:t>Minecraft</w:t>
            </w:r>
          </w:p>
        </w:tc>
        <w:tc>
          <w:tcPr>
            <w:tcW w:type="dxa" w:w="1200"/>
            <w:tcMar>
              <w:top w:w="80" w:type="dxa"/>
              <w:start w:w="120" w:type="dxa"/>
              <w:bottom w:w="80" w:type="dxa"/>
              <w:end w:w="120" w:type="dxa"/>
            </w:tcMar>
            <w:vAlign w:val="center"/>
          </w:tcPr>
          <w:p>
            <w:pPr>
              <w:spacing w:before="0" w:after="40" w:line="276" w:lineRule="auto"/>
            </w:pPr>
            <w:r>
              <w:rPr>
                <w:rFonts w:ascii="Calibri" w:hAnsi="Calibri"/>
                <w:b w:val="0"/>
                <w:color w:val="000000"/>
                <w:sz w:val="19"/>
              </w:rPr>
              <w:t>1–2 of 5</w:t>
            </w:r>
          </w:p>
        </w:tc>
        <w:tc>
          <w:tcPr>
            <w:tcW w:type="dxa" w:w="3000"/>
            <w:tcMar>
              <w:top w:w="80" w:type="dxa"/>
              <w:start w:w="120" w:type="dxa"/>
              <w:bottom w:w="80" w:type="dxa"/>
              <w:end w:w="120" w:type="dxa"/>
            </w:tcMar>
            <w:vAlign w:val="center"/>
          </w:tcPr>
          <w:p>
            <w:pPr>
              <w:spacing w:before="0" w:after="40" w:line="276" w:lineRule="auto"/>
            </w:pPr>
            <w:r>
              <w:rPr>
                <w:rFonts w:ascii="Calibri" w:hAnsi="Calibri"/>
                <w:b w:val="0"/>
                <w:color w:val="000000"/>
                <w:sz w:val="19"/>
              </w:rPr>
              <w:t>General block-built or low-poly geometry only, with original materials and proportions.</w:t>
            </w:r>
          </w:p>
        </w:tc>
        <w:tc>
          <w:tcPr>
            <w:tcW w:type="dxa" w:w="3660"/>
            <w:tcMar>
              <w:top w:w="80" w:type="dxa"/>
              <w:start w:w="120" w:type="dxa"/>
              <w:bottom w:w="80" w:type="dxa"/>
              <w:end w:w="120" w:type="dxa"/>
            </w:tcMar>
            <w:vAlign w:val="center"/>
          </w:tcPr>
          <w:p>
            <w:pPr>
              <w:spacing w:before="0" w:after="40" w:line="276" w:lineRule="auto"/>
            </w:pPr>
            <w:r>
              <w:rPr>
                <w:rFonts w:ascii="Calibri" w:hAnsi="Calibri"/>
                <w:b w:val="0"/>
                <w:color w:val="000000"/>
                <w:sz w:val="19"/>
              </w:rPr>
              <w:t>No Minecraft name, logos, game assets, textures, mobs, skins, UI, screenshots, sounds, or product-identifying motifs.</w:t>
            </w:r>
          </w:p>
        </w:tc>
      </w:tr>
      <w:tr>
        <w:trPr>
          <w:cantSplit/>
        </w:trPr>
        <w:tc>
          <w:tcPr>
            <w:tcW w:type="dxa" w:w="1500"/>
            <w:tcMar>
              <w:top w:w="80" w:type="dxa"/>
              <w:start w:w="120" w:type="dxa"/>
              <w:bottom w:w="80" w:type="dxa"/>
              <w:end w:w="120" w:type="dxa"/>
            </w:tcMar>
            <w:vAlign w:val="center"/>
          </w:tcPr>
          <w:p>
            <w:pPr>
              <w:spacing w:before="0" w:after="40" w:line="276" w:lineRule="auto"/>
            </w:pPr>
            <w:r>
              <w:rPr>
                <w:rFonts w:ascii="Calibri" w:hAnsi="Calibri"/>
                <w:b w:val="0"/>
                <w:color w:val="000000"/>
                <w:sz w:val="19"/>
              </w:rPr>
              <w:t>YouTube personalities</w:t>
            </w:r>
          </w:p>
        </w:tc>
        <w:tc>
          <w:tcPr>
            <w:tcW w:type="dxa" w:w="1200"/>
            <w:tcMar>
              <w:top w:w="80" w:type="dxa"/>
              <w:start w:w="120" w:type="dxa"/>
              <w:bottom w:w="80" w:type="dxa"/>
              <w:end w:w="120" w:type="dxa"/>
            </w:tcMar>
            <w:vAlign w:val="center"/>
          </w:tcPr>
          <w:p>
            <w:pPr>
              <w:spacing w:before="0" w:after="40" w:line="276" w:lineRule="auto"/>
            </w:pPr>
            <w:r>
              <w:rPr>
                <w:rFonts w:ascii="Calibri" w:hAnsi="Calibri"/>
                <w:b w:val="0"/>
                <w:color w:val="000000"/>
                <w:sz w:val="19"/>
              </w:rPr>
              <w:t>0 of 5 as real people; 2 of 5 as archetypes</w:t>
            </w:r>
          </w:p>
        </w:tc>
        <w:tc>
          <w:tcPr>
            <w:tcW w:type="dxa" w:w="3000"/>
            <w:tcMar>
              <w:top w:w="80" w:type="dxa"/>
              <w:start w:w="120" w:type="dxa"/>
              <w:bottom w:w="80" w:type="dxa"/>
              <w:end w:w="120" w:type="dxa"/>
            </w:tcMar>
            <w:vAlign w:val="center"/>
          </w:tcPr>
          <w:p>
            <w:pPr>
              <w:spacing w:before="0" w:after="40" w:line="276" w:lineRule="auto"/>
            </w:pPr>
            <w:r>
              <w:rPr>
                <w:rFonts w:ascii="Calibri" w:hAnsi="Calibri"/>
                <w:b w:val="0"/>
                <w:color w:val="000000"/>
                <w:sz w:val="19"/>
              </w:rPr>
              <w:t>Use fictional creator archetypes with original identities and character bibles.</w:t>
            </w:r>
          </w:p>
        </w:tc>
        <w:tc>
          <w:tcPr>
            <w:tcW w:type="dxa" w:w="3660"/>
            <w:tcMar>
              <w:top w:w="80" w:type="dxa"/>
              <w:start w:w="120" w:type="dxa"/>
              <w:bottom w:w="80" w:type="dxa"/>
              <w:end w:w="120" w:type="dxa"/>
            </w:tcMar>
            <w:vAlign w:val="center"/>
          </w:tcPr>
          <w:p>
            <w:pPr>
              <w:spacing w:before="0" w:after="40" w:line="276" w:lineRule="auto"/>
            </w:pPr>
            <w:r>
              <w:rPr>
                <w:rFonts w:ascii="Calibri" w:hAnsi="Calibri"/>
                <w:b w:val="0"/>
                <w:color w:val="000000"/>
                <w:sz w:val="19"/>
              </w:rPr>
              <w:t>No real name, handle, likeness, voice, skin, catchphrase, channel mark, signature wardrobe, or implied endorsement.</w:t>
            </w:r>
          </w:p>
        </w:tc>
      </w:tr>
    </w:tbl>
    <w:p>
      <w:pPr>
        <w:pStyle w:val="Heading3"/>
      </w:pPr>
      <w:r>
        <w:t>What the scale means</w:t>
      </w:r>
    </w:p>
    <w:p>
      <w:pPr>
        <w:numPr>
          <w:ilvl w:val="0"/>
          <w:numId w:val="10"/>
        </w:numPr>
        <w:spacing w:after="80" w:line="300" w:lineRule="auto"/>
      </w:pPr>
      <w:r>
        <w:t>0 — No reference or recognizable identity.</w:t>
      </w:r>
    </w:p>
    <w:p>
      <w:pPr>
        <w:numPr>
          <w:ilvl w:val="0"/>
          <w:numId w:val="10"/>
        </w:numPr>
        <w:spacing w:after="80" w:line="300" w:lineRule="auto"/>
      </w:pPr>
      <w:r>
        <w:t>1 — Generic category cues that many works share.</w:t>
      </w:r>
    </w:p>
    <w:p>
      <w:pPr>
        <w:numPr>
          <w:ilvl w:val="0"/>
          <w:numId w:val="10"/>
        </w:numPr>
        <w:spacing w:after="80" w:line="300" w:lineRule="auto"/>
      </w:pPr>
      <w:r>
        <w:t>2 — A deliberate creative direction built from generic cues, expressed through original assets.</w:t>
      </w:r>
    </w:p>
    <w:p>
      <w:pPr>
        <w:numPr>
          <w:ilvl w:val="0"/>
          <w:numId w:val="10"/>
        </w:numPr>
        <w:spacing w:after="80" w:line="300" w:lineRule="auto"/>
      </w:pPr>
      <w:r>
        <w:t>3 — Recognizable homage; legal review required and normally excluded from the no-license build.</w:t>
      </w:r>
    </w:p>
    <w:p>
      <w:pPr>
        <w:numPr>
          <w:ilvl w:val="0"/>
          <w:numId w:val="10"/>
        </w:numPr>
        <w:spacing w:after="80" w:line="300" w:lineRule="auto"/>
      </w:pPr>
      <w:r>
        <w:t>4 — Direct reference or imitation; written permission required.</w:t>
      </w:r>
    </w:p>
    <w:p>
      <w:pPr>
        <w:numPr>
          <w:ilvl w:val="0"/>
          <w:numId w:val="10"/>
        </w:numPr>
        <w:spacing w:after="80" w:line="300" w:lineRule="auto"/>
      </w:pPr>
      <w:r>
        <w:t>5 — Licensed collaboration governed by an executed agreement.</w:t>
      </w:r>
    </w:p>
    <w:p>
      <w:r>
        <w:br w:type="page"/>
      </w:r>
    </w:p>
    <w:p>
      <w:pPr>
        <w:pStyle w:val="Heading1"/>
      </w:pPr>
      <w:r>
        <w:t>2. GTA influence: acceptable and unacceptable</w:t>
      </w:r>
    </w:p>
    <w:p>
      <w:r>
        <w:t>The product may draw from the broad language of crime capers, urban satire, cinematic confidence, and high-stakes match presentation. It should not reproduce the distinctive total impression of a Grand Theft Auto title or suggest that Rockstar Games or Take-Two is the source, sponsor, or collaborator. Trademark risk can arise from similarity in appearance, sound, meaning, or overall commercial impression, and famous marks may receive broader protection. [S2–S3]</w:t>
      </w:r>
    </w:p>
    <w:p>
      <w:pPr>
        <w:pStyle w:val="Heading2"/>
      </w:pPr>
      <w:r>
        <w:t>Green-light territory</w:t>
      </w:r>
    </w:p>
    <w:p>
      <w:pPr>
        <w:numPr>
          <w:ilvl w:val="0"/>
          <w:numId w:val="10"/>
        </w:numPr>
        <w:spacing w:after="80" w:line="300" w:lineRule="auto"/>
      </w:pPr>
      <w:r>
        <w:t>A confident, irreverent tone rooted in CheeTA’s own world and characters.</w:t>
      </w:r>
    </w:p>
    <w:p>
      <w:pPr>
        <w:numPr>
          <w:ilvl w:val="0"/>
          <w:numId w:val="10"/>
        </w:numPr>
        <w:spacing w:after="80" w:line="300" w:lineRule="auto"/>
      </w:pPr>
      <w:r>
        <w:t>Cinematic match introductions, bold scorekeeping, dramatic transitions, and high-contrast editorial layouts—created from a blank brief.</w:t>
      </w:r>
    </w:p>
    <w:p>
      <w:pPr>
        <w:numPr>
          <w:ilvl w:val="0"/>
          <w:numId w:val="10"/>
        </w:numPr>
        <w:spacing w:after="80" w:line="300" w:lineRule="auto"/>
      </w:pPr>
      <w:r>
        <w:t>Original urban environments, fictional neighborhoods, fictional organizations, and an original visual language for chess threats and altered rules.</w:t>
      </w:r>
    </w:p>
    <w:p>
      <w:pPr>
        <w:numPr>
          <w:ilvl w:val="0"/>
          <w:numId w:val="10"/>
        </w:numPr>
        <w:spacing w:after="80" w:line="300" w:lineRule="auto"/>
      </w:pPr>
      <w:r>
        <w:t>Generic design ingredients such as condensed type, angular crops, saturated accent colors, paper grain, halftone, or poster-like framing, provided the total composition does not imitate GTA’s branding or campaign art.</w:t>
      </w:r>
    </w:p>
    <w:p>
      <w:pPr>
        <w:numPr>
          <w:ilvl w:val="0"/>
          <w:numId w:val="10"/>
        </w:numPr>
        <w:spacing w:after="80" w:line="300" w:lineRule="auto"/>
      </w:pPr>
      <w:r>
        <w:t>Original terminology such as Match Briefing, Board Control, Heat Map, Rule Shift, and Victory—subject to separate name clearance.</w:t>
      </w:r>
    </w:p>
    <w:p>
      <w:pPr>
        <w:pStyle w:val="Heading2"/>
      </w:pPr>
      <w:r>
        <w:t>Red-light territory</w:t>
      </w:r>
    </w:p>
    <w:p>
      <w:pPr>
        <w:numPr>
          <w:ilvl w:val="0"/>
          <w:numId w:val="10"/>
        </w:numPr>
        <w:spacing w:after="80" w:line="300" w:lineRule="auto"/>
      </w:pPr>
      <w:r>
        <w:t>The terms GTA, Grand Theft Auto, Rockstar, Los Santos, Vice City, or related marks in the app name, subtitle, metadata, icon, screenshots, or promotional copy.</w:t>
      </w:r>
    </w:p>
    <w:p>
      <w:pPr>
        <w:numPr>
          <w:ilvl w:val="0"/>
          <w:numId w:val="10"/>
        </w:numPr>
        <w:spacing w:after="80" w:line="300" w:lineRule="auto"/>
      </w:pPr>
      <w:r>
        <w:t>A logo or wordmark that resembles the stacked Grand Theft Auto logo, including look-alike typography or a numbered/ribbon lockup designed to trigger recognition.</w:t>
      </w:r>
    </w:p>
    <w:p>
      <w:pPr>
        <w:numPr>
          <w:ilvl w:val="0"/>
          <w:numId w:val="10"/>
        </w:numPr>
        <w:spacing w:after="80" w:line="300" w:lineRule="auto"/>
      </w:pPr>
      <w:r>
        <w:t>Signature phrases or systems such as Wanted stars, Wasted, Busted, Mission Passed, GTA-style radar/minimap treatment, or recognizable loading-screen composition.</w:t>
      </w:r>
    </w:p>
    <w:p>
      <w:pPr>
        <w:numPr>
          <w:ilvl w:val="0"/>
          <w:numId w:val="10"/>
        </w:numPr>
        <w:spacing w:after="80" w:line="300" w:lineRule="auto"/>
      </w:pPr>
      <w:r>
        <w:t>Copied or traced characters, vehicles, locations, screenshots, illustrations, animations, music, radio formats, dialogue, sound effects, or voice performances.</w:t>
      </w:r>
    </w:p>
    <w:p>
      <w:pPr>
        <w:numPr>
          <w:ilvl w:val="0"/>
          <w:numId w:val="10"/>
        </w:numPr>
        <w:spacing w:after="80" w:line="300" w:lineRule="auto"/>
      </w:pPr>
      <w:r>
        <w:t>Marketing language such as “GTA chess,” “GTA-inspired,” “like GTA,” or “the GTA of chess.” Internal comparison language must not ship.</w:t>
      </w:r>
    </w:p>
    <w:p>
      <w:pPr>
        <w:pStyle w:val="Heading2"/>
      </w:pPr>
      <w:r>
        <w:t>Design-distance test</w:t>
      </w:r>
    </w:p>
    <w:p>
      <w:pPr>
        <w:numPr>
          <w:ilvl w:val="0"/>
          <w:numId w:val="13"/>
        </w:numPr>
        <w:spacing w:after="80" w:line="300" w:lineRule="auto"/>
      </w:pPr>
      <w:r>
        <w:t>Remove every label. If a reviewer can still name GTA from the logo, screen composition, UI pattern, character pose, or sound alone, redesign it.</w:t>
      </w:r>
    </w:p>
    <w:p>
      <w:pPr>
        <w:numPr>
          <w:ilvl w:val="0"/>
          <w:numId w:val="13"/>
        </w:numPr>
        <w:spacing w:after="80" w:line="300" w:lineRule="auto"/>
      </w:pPr>
      <w:r>
        <w:t>Compare the entire screen, not isolated ingredients. A collection of individually generic choices can still produce a source-identifying overall impression.</w:t>
      </w:r>
    </w:p>
    <w:p>
      <w:pPr>
        <w:numPr>
          <w:ilvl w:val="0"/>
          <w:numId w:val="13"/>
        </w:numPr>
        <w:spacing w:after="80" w:line="300" w:lineRule="auto"/>
      </w:pPr>
      <w:r>
        <w:t>Keep a clean-room trail: original mood words, sketches, source files, and dated iterations showing CheeTA’s independent development.</w:t>
      </w:r>
    </w:p>
    <w:p>
      <w:pPr>
        <w:pStyle w:val="Heading1"/>
      </w:pPr>
      <w:r>
        <w:t>3. Minecraft influence: acceptable and unacceptable</w:t>
      </w:r>
    </w:p>
    <w:p>
      <w:r>
        <w:t>Minecraft’s published Usage Guidelines distinguish relaxed personal use from commercial use and state that commercial entities may not use Minecraft gameplay or assets to promote unrelated products without prior written approval. Microsoft’s brand guidance also requires an unlicensed app’s name, logo, description, screenshots, and collateral to remain unique and free of Microsoft brand assets. [S4–S5] CheeTA therefore treats “block-built” as a broad art technique, not as a Minecraft reference.</w:t>
      </w:r>
    </w:p>
    <w:p>
      <w:pPr>
        <w:pStyle w:val="Heading2"/>
      </w:pPr>
      <w:r>
        <w:t>Green-light territory</w:t>
      </w:r>
    </w:p>
    <w:p>
      <w:pPr>
        <w:numPr>
          <w:ilvl w:val="0"/>
          <w:numId w:val="10"/>
        </w:numPr>
        <w:spacing w:after="80" w:line="300" w:lineRule="auto"/>
      </w:pPr>
      <w:r>
        <w:t>Original low-poly, cuboid, voxel-adjacent, toy-block, or modular character construction.</w:t>
      </w:r>
    </w:p>
    <w:p>
      <w:pPr>
        <w:numPr>
          <w:ilvl w:val="0"/>
          <w:numId w:val="10"/>
        </w:numPr>
        <w:spacing w:after="80" w:line="300" w:lineRule="auto"/>
      </w:pPr>
      <w:r>
        <w:t>A unique shape grammar—for example, beveled blocks, asymmetrical joints, non-square heads, bespoke materials, and motion that is specific to CheeTA.</w:t>
      </w:r>
    </w:p>
    <w:p>
      <w:pPr>
        <w:numPr>
          <w:ilvl w:val="0"/>
          <w:numId w:val="10"/>
        </w:numPr>
        <w:spacing w:after="80" w:line="300" w:lineRule="auto"/>
      </w:pPr>
      <w:r>
        <w:t>Original surface art with a distinct texture scale, lighting model, palette, proportions, facial system, and animation language.</w:t>
      </w:r>
    </w:p>
    <w:p>
      <w:pPr>
        <w:numPr>
          <w:ilvl w:val="0"/>
          <w:numId w:val="10"/>
        </w:numPr>
        <w:spacing w:after="80" w:line="300" w:lineRule="auto"/>
      </w:pPr>
      <w:r>
        <w:t>Creator-culture themes such as streaming, building, speed, collaboration, rivalry, humor, and audience participation when expressed through fictional characters.</w:t>
      </w:r>
    </w:p>
    <w:p>
      <w:pPr>
        <w:pStyle w:val="Heading2"/>
      </w:pPr>
      <w:r>
        <w:t>Red-light territory</w:t>
      </w:r>
    </w:p>
    <w:p>
      <w:pPr>
        <w:numPr>
          <w:ilvl w:val="0"/>
          <w:numId w:val="10"/>
        </w:numPr>
        <w:spacing w:after="80" w:line="300" w:lineRule="auto"/>
      </w:pPr>
      <w:r>
        <w:t>The Minecraft name, logo, pixel-lettering treatment, screenshots, gameplay footage, or language implying compatibility, sponsorship, or origin.</w:t>
      </w:r>
    </w:p>
    <w:p>
      <w:pPr>
        <w:numPr>
          <w:ilvl w:val="0"/>
          <w:numId w:val="10"/>
        </w:numPr>
        <w:spacing w:after="80" w:line="300" w:lineRule="auto"/>
      </w:pPr>
      <w:r>
        <w:t>Official or extracted blocks, textures, skins, sounds, music, mobs, tools, items, particles, UI, inventory grids, hearts, hunger bars, crafting interfaces, or world-generation imagery.</w:t>
      </w:r>
    </w:p>
    <w:p>
      <w:pPr>
        <w:numPr>
          <w:ilvl w:val="0"/>
          <w:numId w:val="10"/>
        </w:numPr>
        <w:spacing w:after="80" w:line="300" w:lineRule="auto"/>
      </w:pPr>
      <w:r>
        <w:t>Recognizable Steve/Alex proportions, Creeper faces, grass-block/dirt textures, Endermen, or other product-identifying character and environment motifs.</w:t>
      </w:r>
    </w:p>
    <w:p>
      <w:pPr>
        <w:numPr>
          <w:ilvl w:val="0"/>
          <w:numId w:val="10"/>
        </w:numPr>
        <w:spacing w:after="80" w:line="300" w:lineRule="auto"/>
      </w:pPr>
      <w:r>
        <w:t>Use of a creator’s Minecraft skin as the shortcut for that creator’s identity; the skin may involve creator, Microsoft/Mojang, and artist rights.</w:t>
      </w:r>
    </w:p>
    <w:p>
      <w:pPr>
        <w:numPr>
          <w:ilvl w:val="0"/>
          <w:numId w:val="10"/>
        </w:numPr>
        <w:spacing w:after="80" w:line="300" w:lineRule="auto"/>
      </w:pPr>
      <w:r>
        <w:t>Store metadata such as “Minecraft YouTuber chess,” even if all visible art is newly drawn.</w:t>
      </w:r>
    </w:p>
    <w:p>
      <w:r>
        <w:br w:type="page"/>
      </w:r>
    </w:p>
    <w:p>
      <w:pPr>
        <w:pStyle w:val="Heading1"/>
      </w:pPr>
      <w:r>
        <w:t>4. Real personalities: the no-license rule</w:t>
      </w:r>
    </w:p>
    <w:p>
      <w:r>
        <w:t>The current concept identifies Preston as a bishop, Milo as a queen, and PewDiePie as a king. Those assignments must remain internal references only until rights are cleared. California’s current publicity statute, for example, creates liability for knowing, unconsented use of a person’s name, voice, signature, photograph, or likeness on products or for advertising or sales. Federal false-endorsement theories may also apply when a use suggests affiliation, approval, or sponsorship. [S6–S7] Other jurisdictions differ, so a U.S.-wide or global launch requires broader review.</w:t>
      </w:r>
    </w:p>
    <w:tbl>
      <w:tblPr>
        <w:tblW w:type="dxa" w:w="9360"/>
        <w:jc w:val="left"/>
        <w:tblLayout w:type="fixed"/>
        <w:tblLook w:firstColumn="1" w:firstRow="1" w:lastColumn="0" w:lastRow="0" w:noHBand="0" w:noVBand="1" w:val="04A0"/>
        <w:tblInd w:w="120" w:type="dxa"/>
        <w:tblBorders>
          <w:top w:val="single" w:sz="8" w:space="0" w:color="FCE8E6"/>
          <w:left w:val="single" w:sz="8" w:space="0" w:color="FCE8E6"/>
          <w:bottom w:val="single" w:sz="8" w:space="0" w:color="FCE8E6"/>
          <w:right w:val="single" w:sz="8" w:space="0" w:color="FCE8E6"/>
          <w:insideH w:val="single" w:sz="8" w:space="0" w:color="FCE8E6"/>
          <w:insideV w:val="single" w:sz="8" w:space="0" w:color="FCE8E6"/>
        </w:tblBorders>
      </w:tblPr>
      <w:tblGrid>
        <w:gridCol w:w="9360"/>
      </w:tblGrid>
      <w:tr>
        <w:trPr>
          <w:cantSplit/>
        </w:trPr>
        <w:tc>
          <w:tcPr>
            <w:tcW w:type="dxa" w:w="9360"/>
            <w:tcMar>
              <w:top w:w="80" w:type="dxa"/>
              <w:start w:w="120" w:type="dxa"/>
              <w:bottom w:w="80" w:type="dxa"/>
              <w:end w:w="120" w:type="dxa"/>
            </w:tcMar>
            <w:vAlign w:val="center"/>
            <w:shd w:fill="FCE8E6"/>
          </w:tcPr>
          <w:p>
            <w:pPr>
              <w:spacing w:before="40" w:after="40" w:line="288" w:lineRule="auto"/>
            </w:pPr>
            <w:r>
              <w:rPr>
                <w:b/>
                <w:color w:val="1F4D78"/>
              </w:rPr>
              <w:t xml:space="preserve">No-license baseline  </w:t>
            </w:r>
            <w:r>
              <w:t>Do not ship Preston, Milo, PewDiePie, or any other identifiable real creator as a piece. Replace each with a fictional creator archetype whose identity is original in name, appearance, voice, wardrobe, biography, channel identity, catchphrases, and marketing presentation.</w:t>
            </w:r>
          </w:p>
        </w:tc>
      </w:tr>
    </w:tbl>
    <w:p>
      <w:pPr>
        <w:spacing w:after="0"/>
      </w:pPr>
    </w:p>
    <w:p>
      <w:pPr>
        <w:pStyle w:val="Heading2"/>
      </w:pPr>
      <w:r>
        <w:t>The recognizability test</w:t>
      </w:r>
    </w:p>
    <w:p>
      <w:r>
        <w:t>A fictional label is not enough. If a meaningful portion of the creator’s audience can identify the real person from the character without being told, the character is outside this baseline. Recognition can come from a combination of cues even when no single cue is a literal portrait.</w:t>
      </w:r>
    </w:p>
    <w:p>
      <w:pPr>
        <w:numPr>
          <w:ilvl w:val="0"/>
          <w:numId w:val="10"/>
        </w:numPr>
        <w:spacing w:after="80" w:line="300" w:lineRule="auto"/>
      </w:pPr>
      <w:r>
        <w:t>Name, nickname, initials, handle, channel name, logo, or catchphrase.</w:t>
      </w:r>
    </w:p>
    <w:p>
      <w:pPr>
        <w:numPr>
          <w:ilvl w:val="0"/>
          <w:numId w:val="10"/>
        </w:numPr>
        <w:spacing w:after="80" w:line="300" w:lineRule="auto"/>
      </w:pPr>
      <w:r>
        <w:t>Face, hair, facial hair, body type, tattoos, voice, accent, vocal mannerisms, laugh, or signature gesture.</w:t>
      </w:r>
    </w:p>
    <w:p>
      <w:pPr>
        <w:numPr>
          <w:ilvl w:val="0"/>
          <w:numId w:val="10"/>
        </w:numPr>
        <w:spacing w:after="80" w:line="300" w:lineRule="auto"/>
      </w:pPr>
      <w:r>
        <w:t>Signature clothing, color scheme, props, set design, thumbnail style, avatar, Minecraft skin, or recurring collaborator/pet.</w:t>
      </w:r>
    </w:p>
    <w:p>
      <w:pPr>
        <w:numPr>
          <w:ilvl w:val="0"/>
          <w:numId w:val="10"/>
        </w:numPr>
        <w:spacing w:after="80" w:line="300" w:lineRule="auto"/>
      </w:pPr>
      <w:r>
        <w:t>Biography, public controversies, family relationships, origin story, or recognizable episode references.</w:t>
      </w:r>
    </w:p>
    <w:p>
      <w:pPr>
        <w:pStyle w:val="Heading2"/>
      </w:pPr>
      <w:r>
        <w:t>How to create safe fictional archetypes</w:t>
      </w:r>
    </w:p>
    <w:p>
      <w:pPr>
        <w:numPr>
          <w:ilvl w:val="0"/>
          <w:numId w:val="14"/>
        </w:numPr>
        <w:spacing w:after="80" w:line="300" w:lineRule="auto"/>
      </w:pPr>
      <w:r>
        <w:t>Start with a gameplay function and emotional role, not a real person. Example: “an impulsive diagonal tactician who turns risky lines into spectacle.”</w:t>
      </w:r>
    </w:p>
    <w:p>
      <w:pPr>
        <w:numPr>
          <w:ilvl w:val="0"/>
          <w:numId w:val="14"/>
        </w:numPr>
        <w:spacing w:after="80" w:line="300" w:lineRule="auto"/>
      </w:pPr>
      <w:r>
        <w:t>Create an original name and channel identity before visual development.</w:t>
      </w:r>
    </w:p>
    <w:p>
      <w:pPr>
        <w:numPr>
          <w:ilvl w:val="0"/>
          <w:numId w:val="14"/>
        </w:numPr>
        <w:spacing w:after="80" w:line="300" w:lineRule="auto"/>
      </w:pPr>
      <w:r>
        <w:t>Change at least six identity dimensions: face, silhouette, age presentation, wardrobe, palette, voice, biography, humor style, setting, and signature behavior.</w:t>
      </w:r>
    </w:p>
    <w:p>
      <w:pPr>
        <w:numPr>
          <w:ilvl w:val="0"/>
          <w:numId w:val="14"/>
        </w:numPr>
        <w:spacing w:after="80" w:line="300" w:lineRule="auto"/>
      </w:pPr>
      <w:r>
        <w:t>Use original reference boards that exclude screenshots, thumbnails, portraits, skins, and fan art of the real creator.</w:t>
      </w:r>
    </w:p>
    <w:p>
      <w:pPr>
        <w:numPr>
          <w:ilvl w:val="0"/>
          <w:numId w:val="14"/>
        </w:numPr>
        <w:spacing w:after="80" w:line="300" w:lineRule="auto"/>
      </w:pPr>
      <w:r>
        <w:t>Run a blind recognition review with people familiar with creator culture. Any repeated real-person identification triggers redesign.</w:t>
      </w:r>
    </w:p>
    <w:p>
      <w:pPr>
        <w:pStyle w:val="Heading2"/>
      </w:pPr>
      <w:r>
        <w:t>If we decide to license a creator</w:t>
      </w:r>
    </w:p>
    <w:p>
      <w:r>
        <w:t>Do not begin public-facing production until the executed agreement covers, at minimum:</w:t>
      </w:r>
    </w:p>
    <w:p>
      <w:pPr>
        <w:numPr>
          <w:ilvl w:val="0"/>
          <w:numId w:val="10"/>
        </w:numPr>
        <w:spacing w:after="80" w:line="300" w:lineRule="auto"/>
      </w:pPr>
      <w:r>
        <w:t>Exact rights: legal and stage names, likeness, voice, signature, channel marks, avatar/skin, approved clips, and newly commissioned performance.</w:t>
      </w:r>
    </w:p>
    <w:p>
      <w:pPr>
        <w:numPr>
          <w:ilvl w:val="0"/>
          <w:numId w:val="10"/>
        </w:numPr>
        <w:spacing w:after="80" w:line="300" w:lineRule="auto"/>
      </w:pPr>
      <w:r>
        <w:t>Media and uses: in-game content, app icon, screenshots, trailers, paid ads, social, events, press, merchandise, updates, ports, and archival availability.</w:t>
      </w:r>
    </w:p>
    <w:p>
      <w:pPr>
        <w:numPr>
          <w:ilvl w:val="0"/>
          <w:numId w:val="10"/>
        </w:numPr>
        <w:spacing w:after="80" w:line="300" w:lineRule="auto"/>
      </w:pPr>
      <w:r>
        <w:t>Term, territory, platforms, exclusivity, compensation, union issues if any, sublicensing, and post-termination sell-off or takedown obligations.</w:t>
      </w:r>
    </w:p>
    <w:p>
      <w:pPr>
        <w:numPr>
          <w:ilvl w:val="0"/>
          <w:numId w:val="10"/>
        </w:numPr>
        <w:spacing w:after="80" w:line="300" w:lineRule="auto"/>
      </w:pPr>
      <w:r>
        <w:t>Approval workflow, response deadlines, morality/reputation provisions, accessibility/localization changes, and the right to patch or rebalance gameplay.</w:t>
      </w:r>
    </w:p>
    <w:p>
      <w:pPr>
        <w:numPr>
          <w:ilvl w:val="0"/>
          <w:numId w:val="10"/>
        </w:numPr>
        <w:spacing w:after="80" w:line="300" w:lineRule="auto"/>
      </w:pPr>
      <w:r>
        <w:t>Ownership and warranties for any supplied skin, logo, music, clips, art, or catchphrases; the creator may not own every element they regularly use.</w:t>
      </w:r>
    </w:p>
    <w:p>
      <w:pPr>
        <w:numPr>
          <w:ilvl w:val="0"/>
          <w:numId w:val="10"/>
        </w:numPr>
        <w:spacing w:after="80" w:line="300" w:lineRule="auto"/>
      </w:pPr>
      <w:r>
        <w:t>Accurate endorsement language and clear disclosure of material connections in marketing when consumers could interpret the appearance as an endorsement. [S8]</w:t>
      </w:r>
    </w:p>
    <w:p>
      <w:pPr>
        <w:pStyle w:val="Heading1"/>
      </w:pPr>
      <w:r>
        <w:t>5. Disclaimers, parody, and fair use</w:t>
      </w:r>
    </w:p>
    <w:p>
      <w:pPr>
        <w:pStyle w:val="Heading2"/>
      </w:pPr>
      <w:r>
        <w:t>Disclaimers are secondary—not permission</w:t>
      </w:r>
    </w:p>
    <w:p>
      <w:r>
        <w:t>A “not affiliated with” notice may reduce some confusion in context, but it does not grant a right to use a trademark, copyrighted asset, or person’s identity. It also does not cure copycat metadata or a screen whose overall impression points to another source. Use a disclaimer only after the underlying design is independently safe.</w:t>
      </w:r>
    </w:p>
    <w:p>
      <w:pPr>
        <w:pStyle w:val="Heading2"/>
      </w:pPr>
      <w:r>
        <w:t>Do not build the release plan around fair use</w:t>
      </w:r>
    </w:p>
    <w:p>
      <w:r>
        <w:t>Fair use is fact-specific and balances purpose, the nature of the work, the amount used, and market effect. Commercial entertainment that borrows from highly creative works is not the posture CheeTA should depend on. Copyright owners generally control adaptations and new versions of their work, and changing someone else’s work does not by itself create permission. [S1]</w:t>
      </w:r>
    </w:p>
    <w:p>
      <w:pPr>
        <w:pStyle w:val="Heading2"/>
      </w:pPr>
      <w:r>
        <w:t>Parody requires a real legal theory</w:t>
      </w:r>
    </w:p>
    <w:p>
      <w:r>
        <w:t>Humor, exaggeration, or affectionate homage is not automatically parody. Any proposed use that intentionally makes GTA, Minecraft, or a creator recognizable for commentary about that source must be isolated from the baseline build and reviewed by qualified counsel before production or marketing.</w:t>
      </w:r>
    </w:p>
    <w:p>
      <w:pPr>
        <w:pStyle w:val="Heading1"/>
      </w:pPr>
      <w:r>
        <w:t>6. Production rules</w:t>
      </w:r>
    </w:p>
    <w:p>
      <w:pPr>
        <w:pStyle w:val="Heading2"/>
      </w:pPr>
      <w:r>
        <w:t>Naming and metadata</w:t>
      </w:r>
    </w:p>
    <w:p>
      <w:pPr>
        <w:numPr>
          <w:ilvl w:val="0"/>
          <w:numId w:val="10"/>
        </w:numPr>
        <w:spacing w:after="80" w:line="300" w:lineRule="auto"/>
      </w:pPr>
      <w:r>
        <w:t>Keep GTA, Grand Theft Auto, Minecraft, Mojang, Rockstar, Take-Two, and creator names out of the app title, subtitle, keywords, icon, screenshots, preview, description, website title, social handles, hashtags, and press materials unless licensed and approved.</w:t>
      </w:r>
    </w:p>
    <w:p>
      <w:pPr>
        <w:numPr>
          <w:ilvl w:val="0"/>
          <w:numId w:val="10"/>
        </w:numPr>
        <w:spacing w:after="80" w:line="300" w:lineRule="auto"/>
      </w:pPr>
      <w:r>
        <w:t>Do not use “inspired by” as a workaround. Public comparison copy can itself create association and platform-review risk.</w:t>
      </w:r>
    </w:p>
    <w:p>
      <w:pPr>
        <w:numPr>
          <w:ilvl w:val="0"/>
          <w:numId w:val="10"/>
        </w:numPr>
        <w:spacing w:after="80" w:line="300" w:lineRule="auto"/>
      </w:pPr>
      <w:r>
        <w:t>Conduct a trademark clearance search for CheeTA, character names, faction names, and major feature names before announcement. This policy does not clear the CheeTA name.</w:t>
      </w:r>
    </w:p>
    <w:p>
      <w:pPr>
        <w:pStyle w:val="Heading2"/>
      </w:pPr>
      <w:r>
        <w:t>Asset provenance</w:t>
      </w:r>
    </w:p>
    <w:p>
      <w:pPr>
        <w:numPr>
          <w:ilvl w:val="0"/>
          <w:numId w:val="10"/>
        </w:numPr>
        <w:spacing w:after="80" w:line="300" w:lineRule="auto"/>
      </w:pPr>
      <w:r>
        <w:t>Every asset must have an owner and source record: employee work-made-for-hire, contractor assignment, purchased license, commissioned license, or verified public-domain source.</w:t>
      </w:r>
    </w:p>
    <w:p>
      <w:pPr>
        <w:numPr>
          <w:ilvl w:val="0"/>
          <w:numId w:val="10"/>
        </w:numPr>
        <w:spacing w:after="80" w:line="300" w:lineRule="auto"/>
      </w:pPr>
      <w:r>
        <w:t>Do not train, prompt, or brief artists to reproduce a named game’s screen, logo, campaign illustration, character, or creator likeness.</w:t>
      </w:r>
    </w:p>
    <w:p>
      <w:pPr>
        <w:numPr>
          <w:ilvl w:val="0"/>
          <w:numId w:val="10"/>
        </w:numPr>
        <w:spacing w:after="80" w:line="300" w:lineRule="auto"/>
      </w:pPr>
      <w:r>
        <w:t>Do not use fan art, fan-made skins, YouTube thumbnails, screenshots, wiki images, social images, or “found online” assets as production material.</w:t>
      </w:r>
    </w:p>
    <w:p>
      <w:pPr>
        <w:numPr>
          <w:ilvl w:val="0"/>
          <w:numId w:val="10"/>
        </w:numPr>
        <w:spacing w:after="80" w:line="300" w:lineRule="auto"/>
      </w:pPr>
      <w:r>
        <w:t>Keep source files, contracts, receipts, model releases, voice releases, music licenses, and approval emails in a centralized rights folder.</w:t>
      </w:r>
    </w:p>
    <w:p>
      <w:pPr>
        <w:pStyle w:val="Heading2"/>
      </w:pPr>
      <w:r>
        <w:t>Copy, audio, and performance</w:t>
      </w:r>
    </w:p>
    <w:p>
      <w:pPr>
        <w:numPr>
          <w:ilvl w:val="0"/>
          <w:numId w:val="10"/>
        </w:numPr>
        <w:spacing w:after="80" w:line="300" w:lineRule="auto"/>
      </w:pPr>
      <w:r>
        <w:t>Write original terminology, dialogue, announcer lines, slogans, victory text, and tutorials; do not paraphrase signature lines closely.</w:t>
      </w:r>
    </w:p>
    <w:p>
      <w:pPr>
        <w:numPr>
          <w:ilvl w:val="0"/>
          <w:numId w:val="10"/>
        </w:numPr>
        <w:spacing w:after="80" w:line="300" w:lineRule="auto"/>
      </w:pPr>
      <w:r>
        <w:t>Commission original music and sound design from a clean brief. No soundalike themes, radio hosts, station imaging, creator voice cloning, or synthesized imitation voices.</w:t>
      </w:r>
    </w:p>
    <w:p>
      <w:pPr>
        <w:numPr>
          <w:ilvl w:val="0"/>
          <w:numId w:val="10"/>
        </w:numPr>
        <w:spacing w:after="80" w:line="300" w:lineRule="auto"/>
      </w:pPr>
      <w:r>
        <w:t>Do not direct actors to impersonate a creator, including cadence, accent, vocal tics, or signature reactions.</w:t>
      </w:r>
    </w:p>
    <w:p>
      <w:pPr>
        <w:pStyle w:val="Heading2"/>
      </w:pPr>
      <w:r>
        <w:t>Platform submission</w:t>
      </w:r>
    </w:p>
    <w:p>
      <w:r>
        <w:t>Apple’s current review guidelines tell developers not to use protected third-party material without permission and not to submit misleading or copycat names, representations, or metadata. Apple may request proof of authorization. [S9] The rights folder should therefore include a concise submission packet that maps every potentially sensitive element to its ownership or license.</w:t>
      </w:r>
    </w:p>
    <w:p>
      <w:r>
        <w:br w:type="page"/>
      </w:r>
    </w:p>
    <w:p>
      <w:pPr>
        <w:pStyle w:val="Heading1"/>
      </w:pPr>
      <w:r>
        <w:t>7. Review gates</w:t>
      </w:r>
    </w:p>
    <w:p>
      <w:pPr>
        <w:pStyle w:val="Heading2"/>
      </w:pPr>
      <w:r>
        <w:t>Concept gate — before character art</w:t>
      </w:r>
    </w:p>
    <w:p>
      <w:pPr>
        <w:numPr>
          <w:ilvl w:val="0"/>
          <w:numId w:val="12"/>
        </w:numPr>
        <w:spacing w:after="80" w:line="300" w:lineRule="auto"/>
      </w:pPr>
      <w:r>
        <w:t>Each character begins with an original gameplay/emotional brief, not a real creator’s name.</w:t>
      </w:r>
    </w:p>
    <w:p>
      <w:pPr>
        <w:numPr>
          <w:ilvl w:val="0"/>
          <w:numId w:val="12"/>
        </w:numPr>
        <w:spacing w:after="80" w:line="300" w:lineRule="auto"/>
      </w:pPr>
      <w:r>
        <w:t>Reference boards contain no protected screenshots, official art, creator portraits, skins, thumbnails, logos, or fan art.</w:t>
      </w:r>
    </w:p>
    <w:p>
      <w:pPr>
        <w:numPr>
          <w:ilvl w:val="0"/>
          <w:numId w:val="12"/>
        </w:numPr>
        <w:spacing w:after="80" w:line="300" w:lineRule="auto"/>
      </w:pPr>
      <w:r>
        <w:t>The art director records the original shape language, palette, material system, and typography rules.</w:t>
      </w:r>
    </w:p>
    <w:p>
      <w:pPr>
        <w:pStyle w:val="Heading2"/>
      </w:pPr>
      <w:r>
        <w:t>Vertical-slice gate — before external testing</w:t>
      </w:r>
    </w:p>
    <w:p>
      <w:pPr>
        <w:numPr>
          <w:ilvl w:val="0"/>
          <w:numId w:val="12"/>
        </w:numPr>
        <w:spacing w:after="80" w:line="300" w:lineRule="auto"/>
      </w:pPr>
      <w:r>
        <w:t>Blind reviewers do not identify GTA, Minecraft, or a specific creator from unlabeled screens or audio.</w:t>
      </w:r>
    </w:p>
    <w:p>
      <w:pPr>
        <w:numPr>
          <w:ilvl w:val="0"/>
          <w:numId w:val="12"/>
        </w:numPr>
        <w:spacing w:after="80" w:line="300" w:lineRule="auto"/>
      </w:pPr>
      <w:r>
        <w:t>All third-party fonts, stock assets, sound libraries, and contractor work have documented commercial rights.</w:t>
      </w:r>
    </w:p>
    <w:p>
      <w:pPr>
        <w:numPr>
          <w:ilvl w:val="0"/>
          <w:numId w:val="12"/>
        </w:numPr>
        <w:spacing w:after="80" w:line="300" w:lineRule="auto"/>
      </w:pPr>
      <w:r>
        <w:t>No internal comparison names, placeholder logos, creator names, or copied references remain in builds, analytics, filenames, or metadata.</w:t>
      </w:r>
    </w:p>
    <w:p>
      <w:pPr>
        <w:pStyle w:val="Heading2"/>
      </w:pPr>
      <w:r>
        <w:t>Launch gate — before TestFlight marketing or App Store submission</w:t>
      </w:r>
    </w:p>
    <w:p>
      <w:pPr>
        <w:numPr>
          <w:ilvl w:val="0"/>
          <w:numId w:val="12"/>
        </w:numPr>
        <w:spacing w:after="80" w:line="300" w:lineRule="auto"/>
      </w:pPr>
      <w:r>
        <w:t>Trademark clearance is completed for CheeTA and all customer-facing names.</w:t>
      </w:r>
    </w:p>
    <w:p>
      <w:pPr>
        <w:numPr>
          <w:ilvl w:val="0"/>
          <w:numId w:val="12"/>
        </w:numPr>
        <w:spacing w:after="80" w:line="300" w:lineRule="auto"/>
      </w:pPr>
      <w:r>
        <w:t>Counsel reviews the near-final app, icon, screenshots, preview video, website, store copy, press kit, and paid ads together.</w:t>
      </w:r>
    </w:p>
    <w:p>
      <w:pPr>
        <w:numPr>
          <w:ilvl w:val="0"/>
          <w:numId w:val="12"/>
        </w:numPr>
        <w:spacing w:after="80" w:line="300" w:lineRule="auto"/>
      </w:pPr>
      <w:r>
        <w:t>Every real-person appearance has an executed license and final approval evidence, or has been removed.</w:t>
      </w:r>
    </w:p>
    <w:p>
      <w:pPr>
        <w:numPr>
          <w:ilvl w:val="0"/>
          <w:numId w:val="12"/>
        </w:numPr>
        <w:spacing w:after="80" w:line="300" w:lineRule="auto"/>
      </w:pPr>
      <w:r>
        <w:t>Every brand asset has written permission covering the exact use, territory, platform, and marketing channel, or has been removed.</w:t>
      </w:r>
    </w:p>
    <w:p>
      <w:pPr>
        <w:numPr>
          <w:ilvl w:val="0"/>
          <w:numId w:val="12"/>
        </w:numPr>
        <w:spacing w:after="80" w:line="300" w:lineRule="auto"/>
      </w:pPr>
      <w:r>
        <w:t>Endorsement disclosures are implemented wherever a material relationship could affect how consumers understand a creator appearance.</w:t>
      </w:r>
    </w:p>
    <w:p>
      <w:pPr>
        <w:numPr>
          <w:ilvl w:val="0"/>
          <w:numId w:val="12"/>
        </w:numPr>
        <w:spacing w:after="80" w:line="300" w:lineRule="auto"/>
      </w:pPr>
      <w:r>
        <w:t>The App Review authorization packet is complete and can be produced promptly if requested.</w:t>
      </w:r>
    </w:p>
    <w:p>
      <w:r>
        <w:br w:type="page"/>
      </w:r>
    </w:p>
    <w:p>
      <w:pPr>
        <w:pStyle w:val="Heading1"/>
      </w:pPr>
      <w:r>
        <w:t>8. Escalation matrix</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700"/>
        <w:gridCol w:w="4300"/>
        <w:gridCol w:w="3360"/>
      </w:tblGrid>
      <w:tr>
        <w:trPr>
          <w:tblHeader w:val="true"/>
          <w:cantSplit/>
        </w:trPr>
        <w:tc>
          <w:tcPr>
            <w:tcW w:type="dxa" w:w="1700"/>
            <w:tcMar>
              <w:top w:w="80" w:type="dxa"/>
              <w:start w:w="120" w:type="dxa"/>
              <w:bottom w:w="80" w:type="dxa"/>
              <w:end w:w="120" w:type="dxa"/>
            </w:tcMar>
            <w:vAlign w:val="center"/>
            <w:shd w:fill="E8EEF5"/>
          </w:tcPr>
          <w:p>
            <w:pPr>
              <w:spacing w:before="0" w:after="40" w:line="276" w:lineRule="auto"/>
            </w:pPr>
            <w:r>
              <w:rPr>
                <w:rFonts w:ascii="Calibri" w:hAnsi="Calibri"/>
                <w:b/>
                <w:color w:val="000000"/>
                <w:sz w:val="19"/>
              </w:rPr>
              <w:t>Risk tier</w:t>
            </w:r>
          </w:p>
        </w:tc>
        <w:tc>
          <w:tcPr>
            <w:tcW w:type="dxa" w:w="4300"/>
            <w:tcMar>
              <w:top w:w="80" w:type="dxa"/>
              <w:start w:w="120" w:type="dxa"/>
              <w:bottom w:w="80" w:type="dxa"/>
              <w:end w:w="120" w:type="dxa"/>
            </w:tcMar>
            <w:vAlign w:val="center"/>
            <w:shd w:fill="E8EEF5"/>
          </w:tcPr>
          <w:p>
            <w:pPr>
              <w:spacing w:before="0" w:after="40" w:line="276" w:lineRule="auto"/>
            </w:pPr>
            <w:r>
              <w:rPr>
                <w:rFonts w:ascii="Calibri" w:hAnsi="Calibri"/>
                <w:b/>
                <w:color w:val="000000"/>
                <w:sz w:val="19"/>
              </w:rPr>
              <w:t>Examples</w:t>
            </w:r>
          </w:p>
        </w:tc>
        <w:tc>
          <w:tcPr>
            <w:tcW w:type="dxa" w:w="3360"/>
            <w:tcMar>
              <w:top w:w="80" w:type="dxa"/>
              <w:start w:w="120" w:type="dxa"/>
              <w:bottom w:w="80" w:type="dxa"/>
              <w:end w:w="120" w:type="dxa"/>
            </w:tcMar>
            <w:vAlign w:val="center"/>
            <w:shd w:fill="E8EEF5"/>
          </w:tcPr>
          <w:p>
            <w:pPr>
              <w:spacing w:before="0" w:after="40" w:line="276" w:lineRule="auto"/>
            </w:pPr>
            <w:r>
              <w:rPr>
                <w:rFonts w:ascii="Calibri" w:hAnsi="Calibri"/>
                <w:b/>
                <w:color w:val="000000"/>
                <w:sz w:val="19"/>
              </w:rPr>
              <w:t>Required action</w:t>
            </w:r>
          </w:p>
        </w:tc>
      </w:tr>
      <w:tr>
        <w:trPr>
          <w:cantSplit/>
        </w:trPr>
        <w:tc>
          <w:tcPr>
            <w:tcW w:type="dxa" w:w="1700"/>
            <w:shd w:fill="EAF2ED"/>
            <w:tcMar>
              <w:top w:w="80" w:type="dxa"/>
              <w:start w:w="120" w:type="dxa"/>
              <w:bottom w:w="80" w:type="dxa"/>
              <w:end w:w="120" w:type="dxa"/>
            </w:tcMar>
            <w:vAlign w:val="center"/>
          </w:tcPr>
          <w:p>
            <w:pPr>
              <w:spacing w:before="0" w:after="40" w:line="276" w:lineRule="auto"/>
            </w:pPr>
            <w:r>
              <w:rPr>
                <w:rFonts w:ascii="Calibri" w:hAnsi="Calibri"/>
                <w:b w:val="0"/>
                <w:color w:val="000000"/>
                <w:sz w:val="19"/>
              </w:rPr>
              <w:t>GREEN — proceed</w:t>
            </w:r>
          </w:p>
        </w:tc>
        <w:tc>
          <w:tcPr>
            <w:tcW w:type="dxa" w:w="4300"/>
            <w:tcMar>
              <w:top w:w="80" w:type="dxa"/>
              <w:start w:w="120" w:type="dxa"/>
              <w:bottom w:w="80" w:type="dxa"/>
              <w:end w:w="120" w:type="dxa"/>
            </w:tcMar>
            <w:vAlign w:val="center"/>
          </w:tcPr>
          <w:p>
            <w:pPr>
              <w:spacing w:before="0" w:after="40" w:line="276" w:lineRule="auto"/>
            </w:pPr>
            <w:r>
              <w:rPr>
                <w:rFonts w:ascii="Calibri" w:hAnsi="Calibri"/>
                <w:b w:val="0"/>
                <w:color w:val="000000"/>
                <w:sz w:val="19"/>
              </w:rPr>
              <w:t>Generic genre tone; original block-built geometry; original fictional characters; documented original assets.</w:t>
            </w:r>
          </w:p>
        </w:tc>
        <w:tc>
          <w:tcPr>
            <w:tcW w:type="dxa" w:w="3360"/>
            <w:tcMar>
              <w:top w:w="80" w:type="dxa"/>
              <w:start w:w="120" w:type="dxa"/>
              <w:bottom w:w="80" w:type="dxa"/>
              <w:end w:w="120" w:type="dxa"/>
            </w:tcMar>
            <w:vAlign w:val="center"/>
          </w:tcPr>
          <w:p>
            <w:pPr>
              <w:spacing w:before="0" w:after="40" w:line="276" w:lineRule="auto"/>
            </w:pPr>
            <w:r>
              <w:rPr>
                <w:rFonts w:ascii="Calibri" w:hAnsi="Calibri"/>
                <w:b w:val="0"/>
                <w:color w:val="000000"/>
                <w:sz w:val="19"/>
              </w:rPr>
              <w:t>Normal creative review and provenance logging.</w:t>
            </w:r>
          </w:p>
        </w:tc>
      </w:tr>
      <w:tr>
        <w:trPr>
          <w:cantSplit/>
        </w:trPr>
        <w:tc>
          <w:tcPr>
            <w:tcW w:type="dxa" w:w="1700"/>
            <w:shd w:fill="FFF4D6"/>
            <w:tcMar>
              <w:top w:w="80" w:type="dxa"/>
              <w:start w:w="120" w:type="dxa"/>
              <w:bottom w:w="80" w:type="dxa"/>
              <w:end w:w="120" w:type="dxa"/>
            </w:tcMar>
            <w:vAlign w:val="center"/>
          </w:tcPr>
          <w:p>
            <w:pPr>
              <w:spacing w:before="0" w:after="40" w:line="276" w:lineRule="auto"/>
            </w:pPr>
            <w:r>
              <w:rPr>
                <w:rFonts w:ascii="Calibri" w:hAnsi="Calibri"/>
                <w:b w:val="0"/>
                <w:color w:val="000000"/>
                <w:sz w:val="19"/>
              </w:rPr>
              <w:t>YELLOW — pause</w:t>
            </w:r>
          </w:p>
        </w:tc>
        <w:tc>
          <w:tcPr>
            <w:tcW w:type="dxa" w:w="4300"/>
            <w:tcMar>
              <w:top w:w="80" w:type="dxa"/>
              <w:start w:w="120" w:type="dxa"/>
              <w:bottom w:w="80" w:type="dxa"/>
              <w:end w:w="120" w:type="dxa"/>
            </w:tcMar>
            <w:vAlign w:val="center"/>
          </w:tcPr>
          <w:p>
            <w:pPr>
              <w:spacing w:before="0" w:after="40" w:line="276" w:lineRule="auto"/>
            </w:pPr>
            <w:r>
              <w:rPr>
                <w:rFonts w:ascii="Calibri" w:hAnsi="Calibri"/>
                <w:b w:val="0"/>
                <w:color w:val="000000"/>
                <w:sz w:val="19"/>
              </w:rPr>
              <w:t>A fan identifies a source; a design uses a signature phrase/system; an archetype resembles a creator; an artist used protected references.</w:t>
            </w:r>
          </w:p>
        </w:tc>
        <w:tc>
          <w:tcPr>
            <w:tcW w:type="dxa" w:w="3360"/>
            <w:tcMar>
              <w:top w:w="80" w:type="dxa"/>
              <w:start w:w="120" w:type="dxa"/>
              <w:bottom w:w="80" w:type="dxa"/>
              <w:end w:w="120" w:type="dxa"/>
            </w:tcMar>
            <w:vAlign w:val="center"/>
          </w:tcPr>
          <w:p>
            <w:pPr>
              <w:spacing w:before="0" w:after="40" w:line="276" w:lineRule="auto"/>
            </w:pPr>
            <w:r>
              <w:rPr>
                <w:rFonts w:ascii="Calibri" w:hAnsi="Calibri"/>
                <w:b w:val="0"/>
                <w:color w:val="000000"/>
                <w:sz w:val="19"/>
              </w:rPr>
              <w:t>Stop the element. Redesign or obtain written legal clearance before further production.</w:t>
            </w:r>
          </w:p>
        </w:tc>
      </w:tr>
      <w:tr>
        <w:trPr>
          <w:cantSplit/>
        </w:trPr>
        <w:tc>
          <w:tcPr>
            <w:tcW w:type="dxa" w:w="1700"/>
            <w:shd w:fill="FCE8E6"/>
            <w:tcMar>
              <w:top w:w="80" w:type="dxa"/>
              <w:start w:w="120" w:type="dxa"/>
              <w:bottom w:w="80" w:type="dxa"/>
              <w:end w:w="120" w:type="dxa"/>
            </w:tcMar>
            <w:vAlign w:val="center"/>
          </w:tcPr>
          <w:p>
            <w:pPr>
              <w:spacing w:before="0" w:after="40" w:line="276" w:lineRule="auto"/>
            </w:pPr>
            <w:r>
              <w:rPr>
                <w:rFonts w:ascii="Calibri" w:hAnsi="Calibri"/>
                <w:b w:val="0"/>
                <w:color w:val="000000"/>
                <w:sz w:val="19"/>
              </w:rPr>
              <w:t>RED — do not ship</w:t>
            </w:r>
          </w:p>
        </w:tc>
        <w:tc>
          <w:tcPr>
            <w:tcW w:type="dxa" w:w="4300"/>
            <w:tcMar>
              <w:top w:w="80" w:type="dxa"/>
              <w:start w:w="120" w:type="dxa"/>
              <w:bottom w:w="80" w:type="dxa"/>
              <w:end w:w="120" w:type="dxa"/>
            </w:tcMar>
            <w:vAlign w:val="center"/>
          </w:tcPr>
          <w:p>
            <w:pPr>
              <w:spacing w:before="0" w:after="40" w:line="276" w:lineRule="auto"/>
            </w:pPr>
            <w:r>
              <w:rPr>
                <w:rFonts w:ascii="Calibri" w:hAnsi="Calibri"/>
                <w:b w:val="0"/>
                <w:color w:val="000000"/>
                <w:sz w:val="19"/>
              </w:rPr>
              <w:t>Brand or creator name; logo; likeness; voice imitation; official/fan skin; copied UI, art, music, sound, footage, or marketing language.</w:t>
            </w:r>
          </w:p>
        </w:tc>
        <w:tc>
          <w:tcPr>
            <w:tcW w:type="dxa" w:w="3360"/>
            <w:tcMar>
              <w:top w:w="80" w:type="dxa"/>
              <w:start w:w="120" w:type="dxa"/>
              <w:bottom w:w="80" w:type="dxa"/>
              <w:end w:w="120" w:type="dxa"/>
            </w:tcMar>
            <w:vAlign w:val="center"/>
          </w:tcPr>
          <w:p>
            <w:pPr>
              <w:spacing w:before="0" w:after="40" w:line="276" w:lineRule="auto"/>
            </w:pPr>
            <w:r>
              <w:rPr>
                <w:rFonts w:ascii="Calibri" w:hAnsi="Calibri"/>
                <w:b w:val="0"/>
                <w:color w:val="000000"/>
                <w:sz w:val="19"/>
              </w:rPr>
              <w:t>Remove it unless an executed license expressly covers the use and final counsel/platform review approves it.</w:t>
            </w:r>
          </w:p>
        </w:tc>
      </w:tr>
    </w:tbl>
    <w:p>
      <w:pPr>
        <w:pStyle w:val="Heading1"/>
      </w:pPr>
      <w:r>
        <w:t>9. Product wording to use internally</w:t>
      </w:r>
    </w:p>
    <w:p>
      <w:pPr>
        <w:numPr>
          <w:ilvl w:val="0"/>
          <w:numId w:val="10"/>
        </w:numPr>
        <w:spacing w:after="80" w:line="300" w:lineRule="auto"/>
      </w:pPr>
      <w:r>
        <w:t>Say: “crime-caper confidence,” “urban editorial energy,” “cinematic match presentation,” or “high-stakes satire.”</w:t>
      </w:r>
    </w:p>
    <w:p>
      <w:pPr>
        <w:numPr>
          <w:ilvl w:val="0"/>
          <w:numId w:val="10"/>
        </w:numPr>
        <w:spacing w:after="80" w:line="300" w:lineRule="auto"/>
      </w:pPr>
      <w:r>
        <w:t>Say: “block-built,” “modular,” “voxel-adjacent,” “toy-block,” or “low-poly”—then specify CheeTA’s original shape language.</w:t>
      </w:r>
    </w:p>
    <w:p>
      <w:pPr>
        <w:numPr>
          <w:ilvl w:val="0"/>
          <w:numId w:val="10"/>
        </w:numPr>
        <w:spacing w:after="80" w:line="300" w:lineRule="auto"/>
      </w:pPr>
      <w:r>
        <w:t>Say: “fictional creator archetype,” followed by gameplay traits and an original biography.</w:t>
      </w:r>
    </w:p>
    <w:p>
      <w:pPr>
        <w:numPr>
          <w:ilvl w:val="0"/>
          <w:numId w:val="10"/>
        </w:numPr>
        <w:spacing w:after="80" w:line="300" w:lineRule="auto"/>
      </w:pPr>
      <w:r>
        <w:t>Do not say: “GTA style,” “Minecraft style,” “PewDiePie-like,” “Preston-inspired,” or similar identity-first shorthand in production briefs that may be handed to contractors or exposed during submission.</w:t>
      </w:r>
    </w:p>
    <w:p>
      <w:r>
        <w:br w:type="page"/>
      </w:r>
    </w:p>
    <w:p>
      <w:pPr>
        <w:pStyle w:val="Heading1"/>
      </w:pPr>
      <w:r>
        <w:t>10. Sources and legal basis</w:t>
      </w:r>
    </w:p>
    <w:p>
      <w:r>
        <w:t>These sources support the conservative policy choices above. They do not resolve every fact pattern or jurisdiction, and platform/brand guidelines can change. Recheck them at each release milestone.</w:t>
      </w:r>
    </w:p>
    <w:p>
      <w:pPr>
        <w:pStyle w:val="SourceNote"/>
      </w:pPr>
      <w:r>
        <w:rPr>
          <w:b/>
        </w:rPr>
        <w:t xml:space="preserve">S1  U.S. Copyright Office — Fair Use FAQ and fair-use overview. </w:t>
      </w:r>
      <w:hyperlink r:id="rId11">
        <w:r>
          <w:rPr>
            <w:rFonts w:ascii="Calibri" w:hAnsi="Calibri"/>
            <w:color w:val="2E74B5"/>
            <w:u w:val="single"/>
          </w:rPr>
          <w:t>Open official source</w:t>
        </w:r>
      </w:hyperlink>
      <w:r>
        <w:t xml:space="preserve"> — Fair use is fact-specific; copyright owners generally control new versions and adaptations.</w:t>
      </w:r>
    </w:p>
    <w:p>
      <w:pPr>
        <w:pStyle w:val="SourceNote"/>
      </w:pPr>
      <w:r>
        <w:rPr>
          <w:b/>
        </w:rPr>
        <w:t xml:space="preserve">S2  U.S. Patent and Trademark Office — Likelihood of confusion. </w:t>
      </w:r>
      <w:hyperlink r:id="rId12">
        <w:r>
          <w:rPr>
            <w:rFonts w:ascii="Calibri" w:hAnsi="Calibri"/>
            <w:color w:val="2E74B5"/>
            <w:u w:val="single"/>
          </w:rPr>
          <w:t>Open official source</w:t>
        </w:r>
      </w:hyperlink>
      <w:r>
        <w:t xml:space="preserve"> — Similarity can arise from appearance, sound, meaning, or commercial impression in related goods/services.</w:t>
      </w:r>
    </w:p>
    <w:p>
      <w:pPr>
        <w:pStyle w:val="SourceNote"/>
      </w:pPr>
      <w:r>
        <w:rPr>
          <w:b/>
        </w:rPr>
        <w:t xml:space="preserve">S3  U.S. Patent and Trademark Office — About trademark infringement. </w:t>
      </w:r>
      <w:hyperlink r:id="rId13">
        <w:r>
          <w:rPr>
            <w:rFonts w:ascii="Calibri" w:hAnsi="Calibri"/>
            <w:color w:val="2E74B5"/>
            <w:u w:val="single"/>
          </w:rPr>
          <w:t>Open official source</w:t>
        </w:r>
      </w:hyperlink>
      <w:r>
        <w:t xml:space="preserve"> — Infringement analysis is multi-factor; famous marks may also support dilution claims.</w:t>
      </w:r>
    </w:p>
    <w:p>
      <w:pPr>
        <w:pStyle w:val="SourceNote"/>
      </w:pPr>
      <w:r>
        <w:rPr>
          <w:b/>
        </w:rPr>
        <w:t xml:space="preserve">S4  Minecraft — Usage Guidelines. </w:t>
      </w:r>
      <w:hyperlink r:id="rId14">
        <w:r>
          <w:rPr>
            <w:rFonts w:ascii="Calibri" w:hAnsi="Calibri"/>
            <w:color w:val="2E74B5"/>
            <w:u w:val="single"/>
          </w:rPr>
          <w:t>Open official source</w:t>
        </w:r>
      </w:hyperlink>
      <w:r>
        <w:t xml:space="preserve"> — Commercial use is more restricted; unrelated brand promotion with Minecraft gameplay/assets requires approval.</w:t>
      </w:r>
    </w:p>
    <w:p>
      <w:pPr>
        <w:pStyle w:val="SourceNote"/>
      </w:pPr>
      <w:r>
        <w:rPr>
          <w:b/>
        </w:rPr>
        <w:t xml:space="preserve">S5  Microsoft — Trademark and Brand Guidelines. </w:t>
      </w:r>
      <w:hyperlink r:id="rId15">
        <w:r>
          <w:rPr>
            <w:rFonts w:ascii="Calibri" w:hAnsi="Calibri"/>
            <w:color w:val="2E74B5"/>
            <w:u w:val="single"/>
          </w:rPr>
          <w:t>Open official source</w:t>
        </w:r>
      </w:hyperlink>
      <w:r>
        <w:t xml:space="preserve"> — Without permission, an app and its collateral must be unique and free of Microsoft brand assets and implied endorsement.</w:t>
      </w:r>
    </w:p>
    <w:p>
      <w:pPr>
        <w:pStyle w:val="SourceNote"/>
      </w:pPr>
      <w:r>
        <w:rPr>
          <w:b/>
        </w:rPr>
        <w:t xml:space="preserve">S6  California Civil Code § 3344. </w:t>
      </w:r>
      <w:hyperlink r:id="rId16">
        <w:r>
          <w:rPr>
            <w:rFonts w:ascii="Calibri" w:hAnsi="Calibri"/>
            <w:color w:val="2E74B5"/>
            <w:u w:val="single"/>
          </w:rPr>
          <w:t>Open official source</w:t>
        </w:r>
      </w:hyperlink>
      <w:r>
        <w:t xml:space="preserve"> — Addresses knowing commercial use of another person’s name, voice, signature, photograph, or likeness without consent.</w:t>
      </w:r>
    </w:p>
    <w:p>
      <w:pPr>
        <w:pStyle w:val="SourceNote"/>
      </w:pPr>
      <w:r>
        <w:rPr>
          <w:b/>
        </w:rPr>
        <w:t xml:space="preserve">S7  15 U.S.C. § 1125. </w:t>
      </w:r>
      <w:hyperlink r:id="rId17">
        <w:r>
          <w:rPr>
            <w:rFonts w:ascii="Calibri" w:hAnsi="Calibri"/>
            <w:color w:val="2E74B5"/>
            <w:u w:val="single"/>
          </w:rPr>
          <w:t>Open official source</w:t>
        </w:r>
      </w:hyperlink>
      <w:r>
        <w:t xml:space="preserve"> — Federal statute addressing false designations, false or misleading representations, and dilution.</w:t>
      </w:r>
    </w:p>
    <w:p>
      <w:pPr>
        <w:pStyle w:val="SourceNote"/>
      </w:pPr>
      <w:r>
        <w:rPr>
          <w:b/>
        </w:rPr>
        <w:t xml:space="preserve">S8  Federal Trade Commission — Advertisement Endorsements. </w:t>
      </w:r>
      <w:hyperlink r:id="rId18">
        <w:r>
          <w:rPr>
            <w:rFonts w:ascii="Calibri" w:hAnsi="Calibri"/>
            <w:color w:val="2E74B5"/>
            <w:u w:val="single"/>
          </w:rPr>
          <w:t>Open official source</w:t>
        </w:r>
      </w:hyperlink>
      <w:r>
        <w:t xml:space="preserve"> — Endorsements must be truthful; material connections should be disclosed clearly and conspicuously.</w:t>
      </w:r>
    </w:p>
    <w:p>
      <w:pPr>
        <w:pStyle w:val="SourceNote"/>
      </w:pPr>
      <w:r>
        <w:rPr>
          <w:b/>
        </w:rPr>
        <w:t xml:space="preserve">S9  Apple — App Review Guidelines. </w:t>
      </w:r>
      <w:hyperlink r:id="rId19">
        <w:r>
          <w:rPr>
            <w:rFonts w:ascii="Calibri" w:hAnsi="Calibri"/>
            <w:color w:val="2E74B5"/>
            <w:u w:val="single"/>
          </w:rPr>
          <w:t>Open official source</w:t>
        </w:r>
      </w:hyperlink>
      <w:r>
        <w:t xml:space="preserve"> — Guidelines 4.1 and 5.2 address copycats, protected third-party material, misleading representations, and proof of rights.</w:t>
      </w:r>
    </w:p>
    <w:tbl>
      <w:tblPr>
        <w:tblW w:type="dxa" w:w="9360"/>
        <w:jc w:val="left"/>
        <w:tblLayout w:type="fixed"/>
        <w:tblLook w:firstColumn="1" w:firstRow="1" w:lastColumn="0" w:lastRow="0" w:noHBand="0" w:noVBand="1" w:val="04A0"/>
        <w:tblInd w:w="120" w:type="dxa"/>
        <w:tblBorders>
          <w:top w:val="single" w:sz="8" w:space="0" w:color="FFF4D6"/>
          <w:left w:val="single" w:sz="8" w:space="0" w:color="FFF4D6"/>
          <w:bottom w:val="single" w:sz="8" w:space="0" w:color="FFF4D6"/>
          <w:right w:val="single" w:sz="8" w:space="0" w:color="FFF4D6"/>
          <w:insideH w:val="single" w:sz="8" w:space="0" w:color="FFF4D6"/>
          <w:insideV w:val="single" w:sz="8" w:space="0" w:color="FFF4D6"/>
        </w:tblBorders>
      </w:tblPr>
      <w:tblGrid>
        <w:gridCol w:w="9360"/>
      </w:tblGrid>
      <w:tr>
        <w:trPr>
          <w:cantSplit/>
        </w:trPr>
        <w:tc>
          <w:tcPr>
            <w:tcW w:type="dxa" w:w="9360"/>
            <w:tcMar>
              <w:top w:w="80" w:type="dxa"/>
              <w:start w:w="120" w:type="dxa"/>
              <w:bottom w:w="80" w:type="dxa"/>
              <w:end w:w="120" w:type="dxa"/>
            </w:tcMar>
            <w:vAlign w:val="center"/>
            <w:shd w:fill="FFF4D6"/>
          </w:tcPr>
          <w:p>
            <w:pPr>
              <w:spacing w:before="40" w:after="40" w:line="288" w:lineRule="auto"/>
            </w:pPr>
            <w:r>
              <w:rPr>
                <w:b/>
                <w:color w:val="1F4D78"/>
              </w:rPr>
              <w:t xml:space="preserve">Final caution  </w:t>
            </w:r>
            <w:r>
              <w:t>This is an internal product-risk policy, not a legal opinion. Before public release, have qualified intellectual-property and advertising counsel review the finished product and marketing materials in the intended launch territories.</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A636B"/>
        <w:sz w:val="17"/>
      </w:rPr>
      <w:t xml:space="preserve">Working policy • Version 1.0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A636B"/>
        <w:sz w:val="17"/>
      </w:rPr>
      <w:t>CHEETA  |  CREATIVE IP &amp; PERSONALITY GUARDRAILS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1">
    <w:abstractNumId w:val="10"/>
  </w:num>
  <w:abstractNum w:abstractNumId="11">
    <w:multiLevelType w:val="singleLevel"/>
    <w:lvl w:ilvl="0">
      <w:start w:val="1"/>
      <w:numFmt w:val="bullet"/>
      <w:lvlText w:val="☐"/>
      <w:lvlJc w:val="left"/>
      <w:pPr>
        <w:tabs>
          <w:tab w:val="num" w:pos="540"/>
        </w:tabs>
        <w:ind w:left="540" w:hanging="270"/>
        <w:spacing w:after="80" w:line="300" w:lineRule="auto"/>
      </w:pPr>
      <w:rPr>
        <w:rFonts w:ascii="Arial" w:hAnsi="Arial"/>
      </w:rPr>
    </w:lvl>
  </w:abstractNum>
  <w:num w:numId="12">
    <w:abstractNumId w:val="11"/>
  </w:num>
  <w:abstractNum w:abstractNumId="12">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3">
    <w:abstractNumId w:val="12"/>
  </w:num>
  <w:abstractNum w:abstractNumId="13">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64" w:lineRule="auto"/>
    </w:pPr>
    <w:rPr>
      <w:rFonts w:ascii="Calibri" w:hAnsi="Calibri"/>
      <w:color w:val="5A636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opyright.gov/help/faq/faq-fairuse.html" TargetMode="External"/><Relationship Id="rId12" Type="http://schemas.openxmlformats.org/officeDocument/2006/relationships/hyperlink" Target="https://www.uspto.gov/trademarks/search/likelihood-confusion" TargetMode="External"/><Relationship Id="rId13" Type="http://schemas.openxmlformats.org/officeDocument/2006/relationships/hyperlink" Target="https://www.uspto.gov/page/about-trademark-infringement" TargetMode="External"/><Relationship Id="rId14" Type="http://schemas.openxmlformats.org/officeDocument/2006/relationships/hyperlink" Target="https://www.minecraft.net/en-us/usage-guidelines" TargetMode="External"/><Relationship Id="rId15" Type="http://schemas.openxmlformats.org/officeDocument/2006/relationships/hyperlink" Target="https://www.microsoft.com/en-us/legal/intellectualproperty/trademarks" TargetMode="External"/><Relationship Id="rId16" Type="http://schemas.openxmlformats.org/officeDocument/2006/relationships/hyperlink" Target="https://leginfo.legislature.ca.gov/faces/codes_displaySection.xhtml?lawCode=CIV&amp;sectionNum=3344." TargetMode="External"/><Relationship Id="rId17" Type="http://schemas.openxmlformats.org/officeDocument/2006/relationships/hyperlink" Target="https://uscode.house.gov/view.xhtml?req=%28title%3A15+section%3A1125+edition%3Aprelim%29" TargetMode="External"/><Relationship Id="rId18" Type="http://schemas.openxmlformats.org/officeDocument/2006/relationships/hyperlink" Target="https://www.ftc.gov/news-events/topics/truth-advertising/advertisement-endorsements" TargetMode="External"/><Relationship Id="rId19" Type="http://schemas.openxmlformats.org/officeDocument/2006/relationships/hyperlink" Target="https://developer.apple.com/app-store/review/guid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CheeTA Creative IP &amp; Personality Guardrails</dc:title>
  <dc:subject>No-license creative and legal-risk baseline</dc:subject>
  <dc:creator>CheeTA Product Team</dc:creator>
  <cp:keywords>CheeTA, intellectual property, creative guardrails, likeness, trademark</cp:keywords>
  <dc:description>Working policy; not legal advice.</dc:description>
  <cp:lastModifiedBy/>
  <cp:revision>1</cp:revision>
  <dcterms:created xsi:type="dcterms:W3CDTF">2013-12-23T23:15:00Z</dcterms:created>
  <dcterms:modified xsi:type="dcterms:W3CDTF">2013-12-23T23:15:00Z</dcterms:modified>
  <cp:category/>
</cp:coreProperties>
</file>