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Інвестиції в Україну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від відновлення до зростання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Протягом </w:t>
      </w:r>
      <w:r>
        <w:rPr>
          <w:rFonts w:ascii="Times Roman" w:hAnsi="Times Roman"/>
          <w:rtl w:val="0"/>
        </w:rPr>
        <w:t>2022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 xml:space="preserve">2024 </w:t>
      </w:r>
      <w:r>
        <w:rPr>
          <w:rFonts w:ascii="Times Roman" w:hAnsi="Times Roman" w:hint="default"/>
          <w:rtl w:val="0"/>
        </w:rPr>
        <w:t xml:space="preserve">років інвестиційна активність в Україні демонструє </w:t>
      </w:r>
      <w:r>
        <w:rPr>
          <w:rFonts w:ascii="Times Roman" w:hAnsi="Times Roman" w:hint="default"/>
          <w:rtl w:val="0"/>
        </w:rPr>
        <w:t>незначне покращення</w:t>
      </w:r>
      <w:r>
        <w:rPr>
          <w:rFonts w:ascii="Times Roman" w:hAnsi="Times Roman" w:hint="default"/>
          <w:rtl w:val="0"/>
        </w:rPr>
        <w:t xml:space="preserve"> та поступове зростання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попри складні економічні умови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Якщо у </w:t>
      </w:r>
      <w:r>
        <w:rPr>
          <w:rFonts w:ascii="Times Roman" w:hAnsi="Times Roman"/>
          <w:rtl w:val="0"/>
        </w:rPr>
        <w:t xml:space="preserve">2022 </w:t>
      </w:r>
      <w:r>
        <w:rPr>
          <w:rFonts w:ascii="Times Roman" w:hAnsi="Times Roman" w:hint="default"/>
          <w:rtl w:val="0"/>
        </w:rPr>
        <w:t xml:space="preserve">році загальний обсяг інвестицій становив майже </w:t>
      </w:r>
      <w:r>
        <w:rPr>
          <w:rFonts w:ascii="Times Roman" w:hAnsi="Times Roman"/>
          <w:rtl w:val="0"/>
        </w:rPr>
        <w:t xml:space="preserve">400 </w:t>
      </w:r>
      <w:r>
        <w:rPr>
          <w:rFonts w:ascii="Times Roman" w:hAnsi="Times Roman" w:hint="default"/>
          <w:rtl w:val="0"/>
        </w:rPr>
        <w:t>мільйонів гривень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то вже у </w:t>
      </w:r>
      <w:r>
        <w:rPr>
          <w:rFonts w:ascii="Times Roman" w:hAnsi="Times Roman"/>
          <w:rtl w:val="0"/>
          <w:lang w:val="en-US"/>
        </w:rPr>
        <w:t xml:space="preserve">2024 </w:t>
      </w:r>
      <w:r>
        <w:rPr>
          <w:rFonts w:ascii="Times Roman" w:hAnsi="Times Roman" w:hint="default"/>
          <w:rtl w:val="0"/>
        </w:rPr>
        <w:t xml:space="preserve">році цей показник досяг </w:t>
      </w:r>
      <w:r>
        <w:rPr>
          <w:rFonts w:ascii="Times Roman" w:hAnsi="Times Roman"/>
          <w:rtl w:val="0"/>
        </w:rPr>
        <w:t xml:space="preserve">728,2 </w:t>
      </w:r>
      <w:r>
        <w:rPr>
          <w:rFonts w:ascii="Times Roman" w:hAnsi="Times Roman" w:hint="default"/>
          <w:rtl w:val="0"/>
        </w:rPr>
        <w:t>мільйона гривень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Така динаміка свідчить про адаптацію бізнесу до нових реалій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Регіональний розподіл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концентрація у ключових центрах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Найбільша частка інвестицій припадає на столицю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Частка Києва зросла з </w:t>
      </w:r>
      <w:r>
        <w:rPr>
          <w:rFonts w:ascii="Times Roman" w:hAnsi="Times Roman"/>
          <w:rtl w:val="0"/>
        </w:rPr>
        <w:t xml:space="preserve">12,8% </w:t>
      </w:r>
      <w:r>
        <w:rPr>
          <w:rFonts w:ascii="Times Roman" w:hAnsi="Times Roman" w:hint="default"/>
          <w:rtl w:val="0"/>
          <w:lang w:val="ru-RU"/>
        </w:rPr>
        <w:t xml:space="preserve">у </w:t>
      </w:r>
      <w:r>
        <w:rPr>
          <w:rFonts w:ascii="Times Roman" w:hAnsi="Times Roman"/>
          <w:rtl w:val="0"/>
        </w:rPr>
        <w:t xml:space="preserve">2022 </w:t>
      </w:r>
      <w:r>
        <w:rPr>
          <w:rFonts w:ascii="Times Roman" w:hAnsi="Times Roman" w:hint="default"/>
          <w:rtl w:val="0"/>
        </w:rPr>
        <w:t xml:space="preserve">році до </w:t>
      </w:r>
      <w:r>
        <w:rPr>
          <w:rFonts w:ascii="Times Roman" w:hAnsi="Times Roman"/>
          <w:rtl w:val="0"/>
        </w:rPr>
        <w:t xml:space="preserve">22,6% </w:t>
      </w:r>
      <w:r>
        <w:rPr>
          <w:rFonts w:ascii="Times Roman" w:hAnsi="Times Roman" w:hint="default"/>
          <w:rtl w:val="0"/>
          <w:lang w:val="ru-RU"/>
        </w:rPr>
        <w:t xml:space="preserve">у </w:t>
      </w:r>
      <w:r>
        <w:rPr>
          <w:rFonts w:ascii="Times Roman" w:hAnsi="Times Roman"/>
          <w:rtl w:val="0"/>
          <w:lang w:val="en-US"/>
        </w:rPr>
        <w:t xml:space="preserve">2024 </w:t>
      </w:r>
      <w:r>
        <w:rPr>
          <w:rFonts w:ascii="Times Roman" w:hAnsi="Times Roman" w:hint="default"/>
          <w:rtl w:val="0"/>
        </w:rPr>
        <w:t>році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підтверджує його роль як головного економічного центру країни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Також серед лідерів залишаються Київська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Дніпропетровська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Львівська та Полтавська області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Ці регіони формують ядро інвестиційної активності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може бути пов’язано з розвиненою інфраструктурою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релокацією бізнесу та відносною безпекою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Водночас найменші обсяги інвестицій зафіксовані у Миколаївській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Чернівецькій та Херсонській областях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може відображати як географічні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так і економічні ризики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Галузеві пріоритети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ставка на матеріальні активи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Аналіз структури інвестицій показує чіткий фокус на матеріальних активах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У всі роки лідером залишаються інвестиції в Машини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обладнання та  інвентар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2022 </w:t>
      </w:r>
      <w:r>
        <w:rPr>
          <w:rFonts w:ascii="Times Roman" w:hAnsi="Times Roman" w:hint="default"/>
          <w:rtl w:val="0"/>
        </w:rPr>
        <w:t xml:space="preserve">рік — </w:t>
      </w:r>
      <w:r>
        <w:rPr>
          <w:rFonts w:ascii="Times Roman" w:hAnsi="Times Roman"/>
          <w:rtl w:val="0"/>
          <w:lang w:val="ru-RU"/>
        </w:rPr>
        <w:t xml:space="preserve">141 </w:t>
      </w:r>
      <w:r>
        <w:rPr>
          <w:rFonts w:ascii="Times Roman" w:hAnsi="Times Roman" w:hint="default"/>
          <w:rtl w:val="0"/>
        </w:rPr>
        <w:t>млн грн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2023 </w:t>
      </w:r>
      <w:r>
        <w:rPr>
          <w:rFonts w:ascii="Times Roman" w:hAnsi="Times Roman" w:hint="default"/>
          <w:rtl w:val="0"/>
        </w:rPr>
        <w:t xml:space="preserve">рік — </w:t>
      </w:r>
      <w:r>
        <w:rPr>
          <w:rFonts w:ascii="Times Roman" w:hAnsi="Times Roman"/>
          <w:rtl w:val="0"/>
        </w:rPr>
        <w:t xml:space="preserve">208 </w:t>
      </w:r>
      <w:r>
        <w:rPr>
          <w:rFonts w:ascii="Times Roman" w:hAnsi="Times Roman" w:hint="default"/>
          <w:rtl w:val="0"/>
        </w:rPr>
        <w:t>млн грн</w:t>
      </w:r>
    </w:p>
    <w:p>
      <w:pPr>
        <w:pStyle w:val="По умолчанию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2024 </w:t>
      </w:r>
      <w:r>
        <w:rPr>
          <w:rFonts w:ascii="Times Roman" w:hAnsi="Times Roman" w:hint="default"/>
          <w:rtl w:val="0"/>
        </w:rPr>
        <w:t xml:space="preserve">рік — </w:t>
      </w:r>
      <w:r>
        <w:rPr>
          <w:rFonts w:ascii="Times Roman" w:hAnsi="Times Roman"/>
          <w:rtl w:val="0"/>
        </w:rPr>
        <w:t xml:space="preserve">257 </w:t>
      </w:r>
      <w:r>
        <w:rPr>
          <w:rFonts w:ascii="Times Roman" w:hAnsi="Times Roman" w:hint="default"/>
          <w:rtl w:val="0"/>
        </w:rPr>
        <w:t>млн грн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Крім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стабільно високими залишаються вкладення в інженерні споруди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нежитлові будівлі та транспортні засоби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Починаючи з </w:t>
      </w:r>
      <w:r>
        <w:rPr>
          <w:rFonts w:ascii="Times Roman" w:hAnsi="Times Roman"/>
          <w:rtl w:val="0"/>
        </w:rPr>
        <w:t xml:space="preserve">2023 </w:t>
      </w:r>
      <w:r>
        <w:rPr>
          <w:rFonts w:ascii="Times Roman" w:hAnsi="Times Roman" w:hint="default"/>
          <w:rtl w:val="0"/>
          <w:lang w:val="ru-RU"/>
        </w:rPr>
        <w:t>року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до топових категорій також входять житлові будівлі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що може свідчити про пожвавлення ринку нерухомості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Висновки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Загалом інвестиційний ландшафт України демонструє позитивні зміни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зростання обсягів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концентрацію ресурсів у ключових регіонах та фокус на відновленні інфраструктури та виробничих потужностей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Це створює передумови для подальшого економічного розвитку та поступового відновлення країни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 w:hint="default"/>
          <w:rtl w:val="0"/>
        </w:rPr>
        <w:t>Попри наявні дисбаланси між регіонами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загальна тенденція залишається позитивною — інвестиції повертаються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а разом з ними і потенціал для зростання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