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935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4033"/>
        <w:gridCol w:w="5320"/>
      </w:tblGrid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В</w:t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Арбитражный суд города Москвы</w:t>
            </w:r>
          </w:p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115225, г. Москва, ул. Большая Тульская, д. 17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Истец: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eastAsia="ru-RU"/>
              </w:rPr>
              <w:t>/*истец полное имя*/</w:t>
            </w:r>
          </w:p>
          <w:p>
            <w:pPr>
              <w:pStyle w:val="Normal"/>
              <w:spacing w:lineRule="auto" w:line="240" w:before="0" w:after="0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eastAsia="ru-RU"/>
              </w:rPr>
              <w:t>(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shd w:fill="FFFFFF" w:val="clear"/>
              </w:rPr>
              <w:t>ОГРН /*истец огрн*/,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eastAsia="ru-RU"/>
              </w:rPr>
              <w:t xml:space="preserve"> ИНН /*истец инн*/)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eastAsia="ru-RU"/>
              </w:rPr>
              <w:t>/*истец адрес*/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  <w:u w:val="single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  <w:u w:val="single"/>
              </w:rPr>
              <w:t>Адрес для направления корреспонденции: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121596, г. Москва, ул. Горбунова, д. 2, стр. 3, </w:t>
              <w:br/>
              <w:t>офис В613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Ответчик: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  <w:lang w:eastAsia="ru-RU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  <w:lang w:eastAsia="ru-RU"/>
              </w:rPr>
              <w:t xml:space="preserve">/*ответчик полное имя*/ </w:t>
            </w:r>
            <w:bookmarkStart w:id="0" w:name="_Hlk114824218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br/>
              <w:t>(</w:t>
            </w:r>
            <w:bookmarkStart w:id="1" w:name="_Hlk114824262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ОГРН /*ответчик огрн*/, ИНН </w:t>
            </w:r>
            <w:bookmarkEnd w:id="1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/*ответчик инн*/)</w:t>
            </w:r>
            <w:bookmarkEnd w:id="0"/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/*ответчик адрес*/</w:t>
            </w:r>
          </w:p>
        </w:tc>
      </w:tr>
    </w:tbl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ind w:firstLine="4111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Цена иска: /*цена иска*/ рублей.</w:t>
      </w:r>
    </w:p>
    <w:p>
      <w:pPr>
        <w:pStyle w:val="normal1"/>
        <w:spacing w:lineRule="auto" w:line="240" w:before="0" w:after="0"/>
        <w:ind w:firstLine="4111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Госпошлина:</w:t>
      </w:r>
      <w:r>
        <w:rPr>
          <w:rFonts w:eastAsia="Times New Roman"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/*госпошлина*/ рублей.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ИСКОВОЕ ЗАЯВЛЕНИЕ</w:t>
      </w:r>
    </w:p>
    <w:p>
      <w:pPr>
        <w:pStyle w:val="normal1"/>
        <w:spacing w:lineRule="auto" w:line="240" w:before="0" w:after="12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о взыскании задолженности за тепловую энергию и теплоноситель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Основной долг. </w:t>
      </w:r>
    </w:p>
    <w:p>
      <w:pPr>
        <w:pStyle w:val="normal1"/>
        <w:spacing w:lineRule="auto" w:line="240" w:before="0" w:after="120"/>
        <w:ind w:firstLine="709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Между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/*истец полное имя*/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(далее – </w:t>
        <w:br/>
        <w:t xml:space="preserve">/*истец сокращенное имя*/, Истец) и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/*ответчик сокращенное имя*/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(далее – Ответчик) были </w:t>
      </w: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 xml:space="preserve">заключены </w:t>
      </w:r>
      <w:r>
        <w:rPr>
          <w:rFonts w:eastAsia="Times New Roman" w:cs="Times New Roman" w:ascii="Times New Roman" w:hAnsi="Times New Roman"/>
          <w:sz w:val="24"/>
          <w:szCs w:val="24"/>
        </w:rPr>
        <w:t>следующие договоры (далее именуемые – Договоры), предметом которых является подача (поставка) Истцом Ответчику /*поставляемые ресурсы*/, на условиях, определенных /*мн.ч.*/:</w:t>
      </w:r>
    </w:p>
    <w:tbl>
      <w:tblPr>
        <w:tblStyle w:val="Table2"/>
        <w:tblW w:w="930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1962"/>
        <w:gridCol w:w="1843"/>
        <w:gridCol w:w="2395"/>
        <w:gridCol w:w="1840"/>
        <w:gridCol w:w="1268"/>
      </w:tblGrid>
      <w:tr>
        <w:trPr>
          <w:trHeight w:val="657" w:hRule="atLeast"/>
          <w:cantSplit w:val="true"/>
        </w:trPr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Реквизиты (номер) договора</w:t>
            </w:r>
          </w:p>
        </w:tc>
        <w:tc>
          <w:tcPr>
            <w:tcW w:w="184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Период</w:t>
            </w:r>
          </w:p>
        </w:tc>
        <w:tc>
          <w:tcPr>
            <w:tcW w:w="23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Задолженность (основной долг), руб.</w:t>
            </w:r>
          </w:p>
        </w:tc>
        <w:tc>
          <w:tcPr>
            <w:tcW w:w="184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Срок оплаты</w:t>
            </w:r>
          </w:p>
        </w:tc>
        <w:tc>
          <w:tcPr>
            <w:tcW w:w="126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Пункт договора</w:t>
            </w:r>
          </w:p>
        </w:tc>
      </w:tr>
      <w:tr>
        <w:trPr>
          <w:trHeight w:val="418" w:hRule="atLeast"/>
          <w:cantSplit w:val="true"/>
        </w:trPr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/>
                <w:shd w:fill="auto" w:val="clear"/>
              </w:rPr>
              <w:t>/*номер договора*/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/*период*/</w:t>
            </w:r>
          </w:p>
        </w:tc>
        <w:tc>
          <w:tcPr>
            <w:tcW w:w="23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/*задолженность*/</w:t>
            </w:r>
          </w:p>
        </w:tc>
        <w:tc>
          <w:tcPr>
            <w:tcW w:w="1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/*срок оплаты*/</w:t>
            </w:r>
          </w:p>
        </w:tc>
        <w:tc>
          <w:tcPr>
            <w:tcW w:w="1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720" w:right="0"/>
              <w:jc w:val="both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shd w:fill="auto" w:val="clear"/>
                <w:vertAlign w:val="baseline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shd w:fill="auto" w:val="clear"/>
                <w:vertAlign w:val="baseline"/>
              </w:rPr>
              <w:t>/*пункт*/</w:t>
            </w:r>
          </w:p>
        </w:tc>
      </w:tr>
      <w:tr>
        <w:trPr>
          <w:trHeight w:val="276" w:hRule="atLeast"/>
          <w:cantSplit w:val="true"/>
        </w:trPr>
        <w:tc>
          <w:tcPr>
            <w:tcW w:w="3805" w:type="dxa"/>
            <w:gridSpan w:val="2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Сумма:</w:t>
            </w:r>
          </w:p>
        </w:tc>
        <w:tc>
          <w:tcPr>
            <w:tcW w:w="2395" w:type="dxa"/>
            <w:tcBorders>
              <w:top w:val="single" w:sz="6" w:space="0" w:color="000000"/>
              <w:bottom w:val="single" w:sz="4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/*сумма долга*/</w:t>
            </w:r>
          </w:p>
        </w:tc>
        <w:tc>
          <w:tcPr>
            <w:tcW w:w="3108" w:type="dxa"/>
            <w:gridSpan w:val="2"/>
            <w:tcBorders>
              <w:top w:val="single" w:sz="6" w:space="0" w:color="000000"/>
              <w:bottom w:val="single" w:sz="4" w:space="0" w:color="000000"/>
              <w:right w:val="single" w:sz="6" w:space="0" w:color="000000"/>
            </w:tcBorders>
            <w:shd w:fill="FFFFFF" w:val="clea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Поставка (подача) ресурсов производилась на условиях, определенных /*мн.ч.*/, за плату согласно действующим тарифам.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/*истец сокращенное имя*/ свои обязательства по /*мн.ч.2*/ исполнило в полном объеме, поставив ресурсы (</w:t>
      </w:r>
      <w:r>
        <w:rPr>
          <w:rFonts w:eastAsia="Times New Roman" w:cs="Times New Roman" w:ascii="Times New Roman" w:hAnsi="Times New Roman"/>
          <w:sz w:val="24"/>
          <w:szCs w:val="24"/>
        </w:rPr>
        <w:t>/*тип договора*/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) в соответствии с принятыми </w:t>
        <w:br/>
        <w:t xml:space="preserve">на себя обязательствами. Точки поставки (адреса) указаны в /*мн.ч.3*/.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В соответствии с условиями /*мн.ч.4*/ в период, указанный в соответствующей графе вышеизложенной таблицы (далее – Период), Истец поставил Ответчику через присоединенную сеть в соответствии с /*тип договора2*/, а Ответчик, соответственно, обязан оплатить полученные ресурсы на основании /*мн.ч.5*/ и установленных тарифов для соответствующих групп потребителей.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1136" w:leader="none"/>
        </w:tabs>
        <w:spacing w:lineRule="auto" w:line="271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За Ответчиком по /*мн.ч.6*/ образовалась задолженность </w:t>
        <w:br/>
        <w:t xml:space="preserve">за потребленные ресурсы (тепловую энергию и/или теплоноситель) в сумме </w:t>
      </w:r>
      <w:r>
        <w:rPr>
          <w:rFonts w:eastAsia="Times New Roman" w:cs="Times New Roman" w:ascii="Times New Roman" w:hAnsi="Times New Roman"/>
          <w:b/>
        </w:rPr>
        <w:t xml:space="preserve">/*сумма долга*/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рублей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за указанный выше Период.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1136" w:leader="none"/>
        </w:tabs>
        <w:spacing w:lineRule="auto" w:line="240" w:before="0" w:after="0"/>
        <w:ind w:firstLine="709" w:left="0" w:right="0"/>
        <w:jc w:val="both"/>
        <w:rPr/>
      </w:pPr>
      <w:r>
        <w:rPr/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/*мн.ч.*/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shd w:val="clear" w:fill="auto"/>
        <w:spacing w:lineRule="auto" w:line="240" w:before="0" w:after="0"/>
        <w:ind w:hanging="360" w:left="720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раздел</w:t>
      </w: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  <w:t xml:space="preserve"> /*номер раздела*/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, в том числе пункт </w:t>
      </w:r>
      <w:r>
        <w:rPr>
          <w:rFonts w:eastAsia="Times New Roman" w:cs="Times New Roman" w:ascii="Times New Roman" w:hAnsi="Times New Roman"/>
          <w:shd w:fill="auto" w:val="clear"/>
        </w:rPr>
        <w:t>/*пункт*/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договора </w:t>
      </w: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  <w:t>/*номер договора*/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1136" w:leader="none"/>
        </w:tabs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определены порядок и сроки взаиморасчетов за потребленные ресурсы, которые существенно нарушены Ответчиком.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Факт поставки /*поставляемые ресурсы2*/ в указанном в настоящем Иске количестве подтверждается соответствующими документами, прилагаемыми к настоящему иску, в том числе: актами приема-передачи энергоресурсов, счетами на оплату, счетами-фактурами.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Таким образом, Истец свои обязательства по /*мн.ч.2*/ исполнил надлежащим образом и в полном объеме, поставив Ответчику /*поставляемые ресурсы3*/ в соответствии с принятыми на себя обязательствами в отношении количества, качества </w:t>
        <w:br/>
        <w:t>и сроков их поставки. Ответчик оплату в полном размере не произвел.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 соответствии с п. 1 ст. 539 Гражданского кодекса Российской Федерации (далее – «ГК РФ») по договору энергоснабжения энергоснабжающая организация обязуется подавать абоненту (потребителю) через присоединенную сеть энергию, а абонент обязуется оплачивать принятую энергию, а также соблюдать предусмотренный договором режим ее потребления, обеспечивать безопасность эксплуатации находящихся в его ведении энергетических сетей и исправность используемых им приборов и оборудования, связанных с потреблением энергии.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Согласно п. 1 ст. 544 ГК РФ оплата энергии производится за фактически принятое абонентом количество энергии в соответствии с данными учета энергии, если иное </w:t>
        <w:br/>
        <w:t>не предусмотрено законом, иными правовыми актами или соглашением сторон договора энергоснабжения (купли-продажи (поставки) энергии).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 силу ст. ст. 309, 310 ГК РФ обязательства должны исполняться надлежащим образом в соответствии с условиями обязательства и требованиями закона, иных правовых актов. Односторонний отказ от исполнения обязательства и одностороннее изменение его условий не допускаются за исключением случаев, предусмотренных действующим законодательством.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Соблюдение претензионного порядка.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0"/>
        <w:ind w:firstLine="709" w:left="0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Поскольку Ответчик свои обязательства по оплате поставленной /*поставляемые ресурсы4*/ исполнил ненадлежащим образом, Истцом направлены в его адрес 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претензии: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40" w:before="0" w:after="0"/>
        <w:ind w:hanging="357" w:left="992" w:right="0"/>
        <w:jc w:val="both"/>
        <w:rPr>
          <w:highlight w:val="none"/>
          <w:shd w:fill="auto" w:val="clear"/>
        </w:rPr>
      </w:pPr>
      <w:bookmarkStart w:id="2" w:name="_heading=h.ra5tosunmtw0"/>
      <w:bookmarkEnd w:id="2"/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list/*номер претензии*/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hanging="0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с предложением погасить образовавшуюся задолженность за ТЭ, которые оставлены Ответчиком без ответа. Задолженность в полном объеме не погашена. Копии претензий, </w:t>
        <w:br/>
        <w:t>а также документация в отношении направления/получения их Ответчиком, соблюдения претензионного порядка прилагаются к настоящему иску.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Неустойка.</w:t>
      </w:r>
    </w:p>
    <w:p>
      <w:pPr>
        <w:pStyle w:val="normal1"/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В соответствии с частью 9.3 статьи 15 Федерального закона от 27.07.2010 </w:t>
        <w:br/>
        <w:t xml:space="preserve">№ 190-ФЗ «О теплоснабжении» управляющие организации, приобретающие тепловую энергию (мощность) и (или) теплоноситель для целей предоставления коммунальных услуг, организации, осуществляющие горячее водоснабжение, холодное водоснабжение и (или) водоотведение по договорам горячего водоснабжения и договорам поставки горячей воды, а также теплоснабжающие организации, приобретающие тепловую энергию (мощность) </w:t>
        <w:br/>
        <w:t xml:space="preserve">и (или) теплоноситель по договору поставки тепловой энергии (мощности) и (или) теплоносителя, в случае несвоевременной и (или) неполной оплаты тепловой энергии (мощности) и (или) теплоносителя уплачивают единой теплоснабжающей организации (теплоснабжающей организации) пени в размере одной трехсотой ставки рефинансирования Центрального банка Российской Федерации, действующей на день фактической оплаты, от не выплаченной в срок суммы за каждый день просрочки начиная со дня, следующего за днем наступления установленного срока оплаты, по день фактической оплаты, произведенной в течение шестидесяти календарных дней со дня наступления установленного срока оплаты, либо до истечения шестидесяти календарных дней после дня наступления установленного срока оплаты, если в шестидесятидневный срок оплата не произведена. Начиная с шестьдесят первого дня, следующего за днем наступления установленного срока оплаты, по день фактической оплаты, произведенной </w:t>
        <w:br/>
        <w:t xml:space="preserve">в течение девяноста календарных дней со дня наступления установленного срока оплаты, либо до истечения девяноста календарных дней после дня наступления установленного срока оплаты, если в девяностодневный срок оплата не произведена, пени уплачиваются </w:t>
        <w:br/>
        <w:t xml:space="preserve">в размере одной стосемидесятой ставки рефинансирования Центрального банка Российской Федерации, действующей на день фактической оплаты, от не выплаченной </w:t>
        <w:br/>
        <w:t xml:space="preserve">в срок суммы за каждый день просрочки. Начиная с девяносто первого дня, следующего </w:t>
        <w:br/>
        <w:t xml:space="preserve">за днем наступления установленного срока оплаты, по день фактической оплаты пени уплачиваются в размере одной стотридцатой ставки рефинансирования Центрального банка Российской Федерации, действующей на день фактической оплаты, </w:t>
        <w:br/>
        <w:t>от не выплаченной в срок суммы за каждый день просрочки.</w:t>
      </w:r>
    </w:p>
    <w:p>
      <w:pPr>
        <w:pStyle w:val="normal1"/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/</w:t>
      </w:r>
      <w:r>
        <w:rPr>
          <w:rFonts w:eastAsia="Times New Roman" w:cs="Times New Roman" w:ascii="Times New Roman" w:hAnsi="Times New Roman"/>
          <w:sz w:val="24"/>
          <w:szCs w:val="24"/>
        </w:rPr>
        <w:t>*абзац важный*/</w:t>
      </w:r>
    </w:p>
    <w:p>
      <w:pPr>
        <w:pStyle w:val="normal1"/>
        <w:spacing w:lineRule="auto" w:line="240" w:before="0" w:after="120"/>
        <w:ind w:firstLine="709"/>
        <w:jc w:val="both"/>
        <w:rPr>
          <w:rFonts w:ascii="Times New Roman" w:hAnsi="Times New Roman" w:eastAsia="Times New Roman" w:cs="Times New Roman"/>
          <w:b/>
          <w:sz w:val="24"/>
          <w:szCs w:val="24"/>
          <w:u w:val="single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Пунктом 1 Постановления Правительства РФ от 26 марта 2022 г. № 474</w:t>
        <w:br/>
        <w:t xml:space="preserve">«О некоторых особенностях регулирования жилищных отношений в 2022 - 2024 годах» </w:t>
        <w:br/>
        <w:t xml:space="preserve">(в ред. пп. «б» п. 1 Постановления Правительства РФ от 29 декабря 2023 г. № 2382 </w:t>
        <w:br/>
        <w:t>«О внесении изменений в постановление Правительства Российской Федерации от 26 марта 2022 г. № 474»), пунктом 1 Постановления Правительства РФ от 18 марта 2025 г. № 329</w:t>
        <w:br/>
        <w:t xml:space="preserve">«О некоторых особенностях регулирования жилищных отношений в 2025 - 2026 годах» установлено, что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в период с 28 февраля 2022 года до 1 января 2027 года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начисление </w:t>
        <w:br/>
        <w:t xml:space="preserve">и уплата пени в случае неполного и (или) несвоевременного внесения платы за жилое помещение и коммунальные услуги, взносов на капитальный ремонт, установленных жилищным законодательством Российской Федерации, а также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начисление и взыскание неустойки (штрафа, пени) за несвоевременное и (или) не полностью исполненное юридическими лицами </w:t>
      </w:r>
      <w:r>
        <w:rPr>
          <w:rFonts w:eastAsia="Times New Roman" w:cs="Times New Roman" w:ascii="Times New Roman" w:hAnsi="Times New Roman"/>
          <w:sz w:val="24"/>
          <w:szCs w:val="24"/>
        </w:rPr>
        <w:t>и индивидуальными предпринимателями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обязательство </w:t>
        <w:br/>
        <w:t xml:space="preserve">по оплате услуг, предоставляемых на основании договоров в соответствии </w:t>
        <w:br/>
        <w:t>с законодательством Российской Федерации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о газоснабжении, об электроэнергетике, </w:t>
        <w:br/>
      </w:r>
      <w:r>
        <w:rPr>
          <w:rFonts w:eastAsia="Times New Roman" w:cs="Times New Roman" w:ascii="Times New Roman" w:hAnsi="Times New Roman"/>
          <w:b/>
          <w:sz w:val="24"/>
          <w:szCs w:val="24"/>
        </w:rPr>
        <w:t>о теплоснабжении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о водоснабжении и водоотведении,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об обращении с твердыми коммунальными отходами,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осуществляются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в порядке, предусмотренном указанным законодательством Российской Федерации,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исходя из минимального значения ключевой ставки Центрального банка Российской Федерации из следующих значений: </w:t>
      </w:r>
      <w:r>
        <w:rPr>
          <w:rFonts w:eastAsia="Times New Roman" w:cs="Times New Roman" w:ascii="Times New Roman" w:hAnsi="Times New Roman"/>
          <w:b/>
          <w:sz w:val="24"/>
          <w:szCs w:val="24"/>
          <w:u w:val="single"/>
        </w:rPr>
        <w:t xml:space="preserve">ключевая ставка Центрального банка Российской Федерации, действующая </w:t>
        <w:br/>
        <w:t>по состоянию на 27 февраля 2022 г., и ключевая ставка Банка России, действующая на день фактической оплаты.</w:t>
      </w:r>
    </w:p>
    <w:p>
      <w:pPr>
        <w:pStyle w:val="normal1"/>
        <w:spacing w:lineRule="auto" w:line="240" w:before="120" w:after="12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Исходя из размера Основного долга и Периода задолженности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неустойка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по /*мн.ч.2*/ сос</w:t>
      </w:r>
      <w:r>
        <w:rPr>
          <w:rFonts w:eastAsia="Times New Roman" w:cs="Times New Roman" w:ascii="Times New Roman" w:hAnsi="Times New Roman"/>
          <w:sz w:val="24"/>
          <w:szCs w:val="24"/>
        </w:rPr>
        <w:t>тавляет:</w:t>
      </w:r>
    </w:p>
    <w:tbl>
      <w:tblPr>
        <w:tblStyle w:val="Table3"/>
        <w:tblW w:w="932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2110"/>
        <w:gridCol w:w="1847"/>
        <w:gridCol w:w="1698"/>
        <w:gridCol w:w="1420"/>
        <w:gridCol w:w="2249"/>
      </w:tblGrid>
      <w:tr>
        <w:trPr>
          <w:trHeight w:val="846" w:hRule="atLeast"/>
        </w:trPr>
        <w:tc>
          <w:tcPr>
            <w:tcW w:w="2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Реквизиты (номер) договора</w:t>
            </w: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Период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Задолженность (основной долг), руб.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Неустойка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руб.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Итого по договору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(неустойка + основной долг), сумма, руб.</w:t>
            </w:r>
          </w:p>
        </w:tc>
      </w:tr>
      <w:tr>
        <w:trPr>
          <w:trHeight w:val="680" w:hRule="atLeast"/>
        </w:trPr>
        <w:tc>
          <w:tcPr>
            <w:tcW w:w="2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/>
                <w:shd w:fill="auto" w:val="clear"/>
              </w:rPr>
              <w:t>/*номер договора*/</w:t>
            </w: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/*период*/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/*задолженность*/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/*неустойка*/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/*неустойка+задолженность*/</w:t>
            </w:r>
          </w:p>
        </w:tc>
      </w:tr>
      <w:tr>
        <w:trPr>
          <w:trHeight w:val="411" w:hRule="atLeast"/>
        </w:trPr>
        <w:tc>
          <w:tcPr>
            <w:tcW w:w="39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ИТОГО: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/*сумма долга*/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/*неустойка общая*/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/*цена иска*/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120"/>
        <w:ind w:firstLine="709" w:left="0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Расчет суммы неустойки прилагается к настоящему исковому заявлению.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bookmarkStart w:id="3" w:name="_heading=h.k52ivkynkc9v"/>
      <w:bookmarkEnd w:id="3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Таким образом, общая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single"/>
          <w:shd w:fill="auto" w:val="clear"/>
          <w:vertAlign w:val="baseline"/>
        </w:rPr>
        <w:t>цена иска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составляет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/*цена иска*/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bookmarkStart w:id="4" w:name="_heading=h.iyq143tfb8u6"/>
      <w:bookmarkEnd w:id="4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Размер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single"/>
          <w:shd w:fill="auto" w:val="clear"/>
          <w:vertAlign w:val="baseline"/>
        </w:rPr>
        <w:t>государственной пошлины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составляет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/*госпошлина*/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На основании вышеизложенного, в соответствии со статьями 309, 310, 395, 539, 541, 544 Гражданского кодекса РФ, </w:t>
      </w:r>
      <w:bookmarkStart w:id="5" w:name="docs-internal-guid-af111a12-7fff-ff2f-0e"/>
      <w:bookmarkEnd w:id="5"/>
      <w:r>
        <w:rPr>
          <w:rFonts w:eastAsia="Times New Roman" w:cs="Times New Roman"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effect w:val="none"/>
          <w:shd w:fill="auto" w:val="clear"/>
          <w:vertAlign w:val="baseline"/>
        </w:rPr>
        <w:t xml:space="preserve">ст. 13 Федерального закона от 07.12.2011 № 416-ФЗ </w:t>
        <w:br/>
        <w:t>«О водоснабжении и водоотведении»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статьями 4, 125 Арбитражного процессуального кодекса Российской Федерации,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240" w:after="240"/>
        <w:ind w:firstLine="567" w:left="0" w:right="0"/>
        <w:jc w:val="center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ПРОСИМ СУД: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Взыскать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/*ответчик </w:t>
      </w:r>
      <w:r>
        <w:rPr>
          <w:rFonts w:eastAsia="Times New Roman" w:cs="Times New Roman" w:ascii="Times New Roman" w:hAnsi="Times New Roman"/>
          <w:sz w:val="24"/>
          <w:szCs w:val="24"/>
        </w:rPr>
        <w:t>полное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имя*/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(ОГРН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огрн*/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ИНН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/*ответчик инн*/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) в пользу Публичного акционерного общества «Московская объединенная энергетическая компания» (ОГРН /*истец огрн*/, </w:t>
        <w:br/>
        <w:t>ИНН /*истец инн*/) задолженность (основной долг) и неустойку по /*мн.ч.2*/ в общем размере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/*цена иска*/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рублей, в том числе: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3"/>
        </w:numPr>
        <w:shd w:val="clear" w:fill="auto"/>
        <w:spacing w:lineRule="auto" w:line="240" w:before="0" w:after="0"/>
        <w:ind w:hanging="426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по Договору 05.403297-ТЭ от 01.08.2017: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/*задолженность*/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руб. – основной долг за период </w:t>
      </w: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  <w:t>/*период*/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Spacing"/>
        <w:ind w:left="993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  <w:lang w:eastAsia="ru-RU"/>
        </w:rPr>
        <w:t>/*доля годовой корректировки*/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  <w:lang w:eastAsia="ru-RU"/>
        </w:rPr>
        <w:t xml:space="preserve"> руб. – доля годовой корректировки за 2024 год за период /*период корректировки*/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/*неустойка*/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руб. – неустойку за период с /*период неустойки 1*/ по /*период неустойки 2*/;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hanging="0" w:left="992" w:right="0"/>
        <w:jc w:val="both"/>
        <w:rPr>
          <w:highlight w:val="none"/>
          <w:shd w:fill="auto" w:val="clear"/>
        </w:rPr>
      </w:pPr>
      <w:bookmarkStart w:id="6" w:name="_heading=h.5z6qu5hcxdqu"/>
      <w:bookmarkEnd w:id="6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неустойку по день фактического исполнения обязательства, начиная с  /*начальная дата неустойки*/ года, рассчитанную исходя из 1/130 ставки рефинансирования Банка России;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Взыскать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полное имя*/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(ОГРН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огрн*/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, ИНН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инн*/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) в пользу Публичного акционерного общества «Московская объединенная энергетическая компания»  (ОГРН /*истец огрн*/, </w:t>
        <w:br/>
        <w:t xml:space="preserve">ИНН /*истец инн*/) расходы по оплате государственной пошлины  за подачу настоящего иска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/*госпошлина*/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рублей.</w:t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Приложения: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6"/>
        </w:numPr>
        <w:shd w:val="clear" w:fill="auto"/>
        <w:spacing w:lineRule="auto" w:line="240" w:before="0" w:after="0"/>
        <w:ind w:hanging="425" w:left="567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tbl>
      <w:tblPr>
        <w:tblStyle w:val="Table4"/>
        <w:tblW w:w="9349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4678"/>
        <w:gridCol w:w="2545"/>
        <w:gridCol w:w="2126"/>
      </w:tblGrid>
      <w:tr>
        <w:trPr/>
        <w:tc>
          <w:tcPr>
            <w:tcW w:w="4678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Представитель ПАО «МОЭК»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both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по доверенности</w:t>
            </w:r>
          </w:p>
        </w:tc>
        <w:tc>
          <w:tcPr>
            <w:tcW w:w="2545" w:type="dxa"/>
            <w:tcBorders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both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r>
          </w:p>
        </w:tc>
        <w:tc>
          <w:tcPr>
            <w:tcW w:w="2126" w:type="dxa"/>
            <w:tcBorders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right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right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Самошкина А.Е.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701" w:right="851" w:gutter="0" w:header="0" w:top="851" w:footer="306" w:bottom="851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Times New Roman">
    <w:altName w:val="serif"/>
    <w:charset w:val="01"/>
    <w:family w:val="roman"/>
    <w:pitch w:val="variable"/>
  </w:font>
  <w:font w:name="Noto Sans Symbols">
    <w:charset w:val="01"/>
    <w:family w:val="swiss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ind w:hanging="0" w:left="0" w:right="0"/>
      <w:jc w:val="right"/>
      <w:rPr>
        <w:rFonts w:ascii="Times New Roman" w:hAnsi="Times New Roman" w:eastAsia="Times New Roman" w:cs="Times New Roman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ind w:hanging="0" w:left="0" w:right="0"/>
      <w:jc w:val="right"/>
      <w:rPr>
        <w:rFonts w:ascii="Times New Roman" w:hAnsi="Times New Roman" w:eastAsia="Times New Roman" w:cs="Times New Roman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927" w:hanging="360"/>
      </w:pPr>
      <w:rPr>
        <w:b/>
        <w:rFonts w:ascii="Times New Roman" w:hAnsi="Times New Roman" w:eastAsia="Times New Roman" w:cs="Times New Roman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647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367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087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807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527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247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967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687" w:hanging="180"/>
      </w:pPr>
      <w:rPr/>
    </w:lvl>
  </w:abstractNum>
  <w:abstractNum w:abstractNumId="3">
    <w:lvl w:ilvl="0">
      <w:start w:val="1"/>
      <w:numFmt w:val="bullet"/>
      <w:lvlText w:val="●"/>
      <w:lvlJc w:val="left"/>
      <w:pPr>
        <w:tabs>
          <w:tab w:val="num" w:pos="0"/>
        </w:tabs>
        <w:ind w:left="1571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3011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731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171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891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331" w:hanging="360"/>
      </w:pPr>
      <w:rPr>
        <w:rFonts w:ascii="Noto Sans Symbols" w:hAnsi="Noto Sans Symbols" w:cs="Noto Sans Symbols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5">
    <w:lvl w:ilvl="0">
      <w:start w:val="1"/>
      <w:numFmt w:val="bullet"/>
      <w:lvlText w:val="⎯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6">
    <w:lvl w:ilvl="0">
      <w:start w:val="1"/>
      <w:numFmt w:val="decimal"/>
      <w:lvlText w:val="%1)"/>
      <w:lvlJc w:val="left"/>
      <w:pPr>
        <w:tabs>
          <w:tab w:val="num" w:pos="0"/>
        </w:tabs>
        <w:ind w:left="1004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24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444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164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884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04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24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044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764" w:hanging="18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Основной текст (2)_"/>
    <w:link w:val="21"/>
    <w:uiPriority w:val="99"/>
    <w:qFormat/>
    <w:locked/>
    <w:rsid w:val="00940e25"/>
    <w:rPr>
      <w:shd w:fill="FFFFFF" w:val="clear"/>
    </w:rPr>
  </w:style>
  <w:style w:type="character" w:styleId="Style8" w:customStyle="1">
    <w:name w:val="Верхний колонтитул Знак"/>
    <w:basedOn w:val="DefaultParagraphFont"/>
    <w:uiPriority w:val="99"/>
    <w:qFormat/>
    <w:rsid w:val="00a9586a"/>
    <w:rPr>
      <w:rFonts w:ascii="Calibri" w:hAnsi="Calibri" w:eastAsia="Times New Roman" w:cs="Calibri"/>
    </w:rPr>
  </w:style>
  <w:style w:type="character" w:styleId="Style9" w:customStyle="1">
    <w:name w:val="Нижний колонтитул Знак"/>
    <w:basedOn w:val="DefaultParagraphFont"/>
    <w:uiPriority w:val="99"/>
    <w:qFormat/>
    <w:rsid w:val="00a9586a"/>
    <w:rPr>
      <w:rFonts w:ascii="Calibri" w:hAnsi="Calibri" w:eastAsia="Times New Roman" w:cs="Calibri"/>
    </w:rPr>
  </w:style>
  <w:style w:type="character" w:styleId="Style10" w:customStyle="1">
    <w:name w:val="Текст выноски Знак"/>
    <w:basedOn w:val="DefaultParagraphFont"/>
    <w:link w:val="BalloonText"/>
    <w:uiPriority w:val="99"/>
    <w:semiHidden/>
    <w:qFormat/>
    <w:rsid w:val="00e541cd"/>
    <w:rPr>
      <w:rFonts w:ascii="Segoe UI" w:hAnsi="Segoe UI" w:eastAsia="Times New Roman" w:cs="Segoe UI"/>
      <w:sz w:val="18"/>
      <w:szCs w:val="18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282234"/>
    <w:rPr>
      <w:sz w:val="16"/>
      <w:szCs w:val="16"/>
    </w:rPr>
  </w:style>
  <w:style w:type="character" w:styleId="Style11" w:customStyle="1">
    <w:name w:val="Текст примечания Знак"/>
    <w:basedOn w:val="DefaultParagraphFont"/>
    <w:uiPriority w:val="99"/>
    <w:semiHidden/>
    <w:qFormat/>
    <w:rsid w:val="00282234"/>
    <w:rPr>
      <w:rFonts w:ascii="Calibri" w:hAnsi="Calibri" w:eastAsia="Times New Roman" w:cs="Calibri"/>
      <w:sz w:val="20"/>
      <w:szCs w:val="20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282234"/>
    <w:rPr>
      <w:rFonts w:ascii="Calibri" w:hAnsi="Calibri" w:eastAsia="Times New Roman" w:cs="Calibri"/>
      <w:b/>
      <w:bCs/>
      <w:sz w:val="20"/>
      <w:szCs w:val="20"/>
    </w:rPr>
  </w:style>
  <w:style w:type="character" w:styleId="layout" w:customStyle="1">
    <w:name w:val="layout"/>
    <w:basedOn w:val="DefaultParagraphFont"/>
    <w:qFormat/>
    <w:rsid w:val="00094b05"/>
    <w:rPr/>
  </w:style>
  <w:style w:type="character" w:styleId="LineNumber">
    <w:name w:val="Line Number"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NoSpacing">
    <w:name w:val="No Spacing"/>
    <w:uiPriority w:val="99"/>
    <w:qFormat/>
    <w:rsid w:val="00940e25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Times New Roman" w:cs="Calibri"/>
      <w:color w:val="auto"/>
      <w:kern w:val="0"/>
      <w:sz w:val="22"/>
      <w:szCs w:val="22"/>
      <w:lang w:val="ru-RU" w:eastAsia="zh-CN" w:bidi="hi-IN"/>
    </w:rPr>
  </w:style>
  <w:style w:type="paragraph" w:styleId="21" w:customStyle="1">
    <w:name w:val="Основной текст (2)"/>
    <w:link w:val="2"/>
    <w:uiPriority w:val="99"/>
    <w:qFormat/>
    <w:rsid w:val="00940e25"/>
    <w:pPr>
      <w:widowControl w:val="false"/>
      <w:shd w:val="clear" w:color="auto" w:fill="FFFFFF"/>
      <w:suppressAutoHyphens w:val="true"/>
      <w:bidi w:val="0"/>
      <w:spacing w:lineRule="exact" w:line="264" w:before="240" w:after="0"/>
      <w:jc w:val="both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zh-CN" w:bidi="hi-IN"/>
    </w:rPr>
  </w:style>
  <w:style w:type="paragraph" w:styleId="1" w:customStyle="1">
    <w:name w:val="Стиль1"/>
    <w:uiPriority w:val="99"/>
    <w:qFormat/>
    <w:rsid w:val="004e1112"/>
    <w:pPr>
      <w:widowControl/>
      <w:numPr>
        <w:ilvl w:val="0"/>
        <w:numId w:val="1"/>
      </w:numPr>
      <w:suppressAutoHyphens w:val="true"/>
      <w:bidi w:val="0"/>
      <w:spacing w:lineRule="auto" w:line="240" w:before="0" w:after="0"/>
      <w:jc w:val="both"/>
    </w:pPr>
    <w:rPr>
      <w:rFonts w:ascii="Calibri" w:hAnsi="Calibri" w:eastAsia="Calibri" w:cs="Times New Roman"/>
      <w:color w:val="auto"/>
      <w:kern w:val="0"/>
      <w:sz w:val="28"/>
      <w:szCs w:val="28"/>
      <w:lang w:val="ru-RU" w:eastAsia="ru-RU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link w:val="Style8"/>
    <w:uiPriority w:val="99"/>
    <w:unhideWhenUsed/>
    <w:rsid w:val="00a9586a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HeaderandFooter"/>
    <w:link w:val="Style9"/>
    <w:uiPriority w:val="99"/>
    <w:unhideWhenUsed/>
    <w:rsid w:val="00a9586a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ListParagraph">
    <w:name w:val="List Paragraph"/>
    <w:uiPriority w:val="34"/>
    <w:qFormat/>
    <w:rsid w:val="00380526"/>
    <w:pPr>
      <w:widowControl/>
      <w:suppressAutoHyphens w:val="true"/>
      <w:bidi w:val="0"/>
      <w:spacing w:lineRule="auto" w:line="276" w:before="0" w:after="200"/>
      <w:ind w:left="72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BalloonText">
    <w:name w:val="Balloon Text"/>
    <w:link w:val="Style10"/>
    <w:uiPriority w:val="99"/>
    <w:semiHidden/>
    <w:unhideWhenUsed/>
    <w:qFormat/>
    <w:rsid w:val="00e541cd"/>
    <w:pPr>
      <w:widowControl/>
      <w:suppressAutoHyphens w:val="true"/>
      <w:bidi w:val="0"/>
      <w:spacing w:lineRule="auto" w:line="240" w:before="0" w:after="0"/>
      <w:jc w:val="left"/>
    </w:pPr>
    <w:rPr>
      <w:rFonts w:ascii="Segoe UI" w:hAnsi="Segoe UI" w:eastAsia="Calibri" w:cs="Segoe UI"/>
      <w:color w:val="auto"/>
      <w:kern w:val="0"/>
      <w:sz w:val="18"/>
      <w:szCs w:val="18"/>
      <w:lang w:val="ru-RU" w:eastAsia="zh-CN" w:bidi="hi-IN"/>
    </w:rPr>
  </w:style>
  <w:style w:type="paragraph" w:styleId="AnnotationText">
    <w:name w:val="Annotation Text"/>
    <w:basedOn w:val="BodyText"/>
    <w:link w:val="Style11"/>
    <w:uiPriority w:val="99"/>
    <w:semiHidden/>
    <w:unhideWhenUsed/>
    <w:rsid w:val="00282234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Style12"/>
    <w:uiPriority w:val="99"/>
    <w:semiHidden/>
    <w:unhideWhenUsed/>
    <w:qFormat/>
    <w:rsid w:val="00282234"/>
    <w:pPr/>
    <w:rPr>
      <w:b/>
      <w:bCs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Style15">
    <w:name w:val="Содержимое таблицы"/>
    <w:basedOn w:val="Normal"/>
    <w:qFormat/>
    <w:pPr>
      <w:widowControl w:val="false"/>
      <w:suppressLineNumbers/>
    </w:pPr>
    <w:rPr/>
  </w:style>
  <w:style w:type="paragraph" w:styleId="Style16">
    <w:name w:val="Заголовок таблицы"/>
    <w:basedOn w:val="Style15"/>
    <w:qFormat/>
    <w:pPr>
      <w:suppressLineNumbers/>
      <w:jc w:val="center"/>
    </w:pPr>
    <w:rPr>
      <w:b/>
      <w:bCs/>
    </w:rPr>
  </w:style>
  <w:style w:type="numbering" w:styleId="Style17" w:default="1">
    <w:name w:val="Без списка"/>
    <w:uiPriority w:val="99"/>
    <w:semiHidden/>
    <w:unhideWhenUsed/>
    <w:qFormat/>
  </w:style>
  <w:style w:type="table" w:default="1" w:styleId="TableNormal">
    <w:name w:val="TableNormal"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rsid w:val="004e111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SkbEVmSa7XaE7qrXI1/YbPLLDQg==">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201</TotalTime>
  <Application>LibreOffice/24.2.7.2$Linux_X86_64 LibreOffice_project/420$Build-2</Application>
  <AppVersion>15.0000</AppVersion>
  <Pages>4</Pages>
  <Words>1279</Words>
  <Characters>8907</Characters>
  <CharactersWithSpaces>10137</CharactersWithSpaces>
  <Paragraphs>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2024-06-25T08:20:00Z</dcterms:created>
  <dc:creator/>
  <dc:description/>
  <dc:language>ru-RU</dc:language>
  <cp:lastModifiedBy/>
  <dcterms:modified xsi:type="dcterms:W3CDTF">2025-09-24T22:57:49Z</dcterms:modified>
  <cp:revision>83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