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-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-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GETRES5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RESPONDSHORTNAME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GETRES1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LASTDAY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POINT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ISTECSHORTNAME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CONTRACTTYPE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MNCH3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CONTRACTTYPE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DEBTSUM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RAZDELLIST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DIRECTEDENDING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CLAIMENDINGIP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LISTNUMBERPRETEN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WHICHENDING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ABANDONEDENDING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COPYENDING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CLAIMENDINGRP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HERENDING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ABZACIMPORT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PENALTYJUSTPLUSDEBT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PENALTYALL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COSTOFLAWSUIT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SERVICEARTICLE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05.403297-ТЭ от 01.08.2017: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ANOTHERDEBT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PERIOD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78B08E" w14:textId="6D0AE09A" w:rsidR="00173CB4" w:rsidRDefault="00566006">
      <w:pPr>
        <w:pStyle w:val="af5"/>
        <w:ind w:left="993"/>
        <w:jc w:val="both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DOLYAGODKORECT</w:t>
      </w:r>
      <w:r w:rsidR="00FB3E1A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руб. – доля годовой корректировки за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KORREKTGOD</w:t>
      </w:r>
      <w:r w:rsidR="00FB3E1A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год за период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KORREKTPERIOD</w:t>
      </w:r>
      <w:r w:rsidR="00F04A0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PENALTYJUST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NEUSTOYKAPER1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STARTNEUSTOYKA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Самошкина А.Е.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