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93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033"/>
        <w:gridCol w:w="5320"/>
      </w:tblGrid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В</w:t>
            </w:r>
          </w:p>
        </w:tc>
        <w:tc>
          <w:tcPr>
            <w:tcW w:w="5320" w:type="dxa"/>
            <w:tcBorders/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Арбитражный суд города Москвы</w:t>
            </w:r>
          </w:p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115225, г. Москва, ул. Большая Тульская, д. 17</w:t>
            </w:r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320" w:type="dxa"/>
            <w:tcBorders/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Истец:</w:t>
            </w:r>
          </w:p>
        </w:tc>
        <w:tc>
          <w:tcPr>
            <w:tcW w:w="532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/*истец полное имя*/</w:t>
            </w:r>
          </w:p>
          <w:p>
            <w:pPr>
              <w:pStyle w:val="Normal"/>
              <w:spacing w:lineRule="auto" w:line="240" w:before="0" w:after="0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eastAsia="ru-RU"/>
              </w:rPr>
              <w:t>(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shd w:fill="FFFFFF" w:val="clear"/>
              </w:rPr>
              <w:t>ОГРН /*истец огрн*/,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eastAsia="ru-RU"/>
              </w:rPr>
              <w:t xml:space="preserve"> ИНН /*истец инн*/)</w:t>
            </w:r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0" w:type="dxa"/>
            <w:tcBorders/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/*истец адрес*/</w:t>
            </w:r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  <w:u w:val="single"/>
              </w:rPr>
              <w:t>Адрес для направления корреспонденции:</w:t>
            </w:r>
          </w:p>
        </w:tc>
        <w:tc>
          <w:tcPr>
            <w:tcW w:w="5320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121596, г. Москва, ул. Горбунова, д. 2, стр. 3, </w:t>
              <w:br/>
              <w:t>офис В613</w:t>
            </w:r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320" w:type="dxa"/>
            <w:tcBorders/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Ответчик:</w:t>
            </w:r>
          </w:p>
        </w:tc>
        <w:tc>
          <w:tcPr>
            <w:tcW w:w="532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eastAsia="ru-RU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eastAsia="ru-RU"/>
              </w:rPr>
              <w:t xml:space="preserve">/*ответчик полное имя*/ </w:t>
            </w:r>
            <w:bookmarkStart w:id="0" w:name="_Hlk114824218"/>
            <w:r>
              <w:rPr>
                <w:rFonts w:eastAsia="Times New Roman" w:cs="Times New Roman" w:ascii="Times New Roman" w:hAnsi="Times New Roman"/>
                <w:b w:val="false"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br/>
              <w:t>(</w:t>
            </w:r>
            <w:bookmarkStart w:id="1" w:name="_Hlk114824262"/>
            <w:r>
              <w:rPr>
                <w:rFonts w:eastAsia="Times New Roman" w:cs="Times New Roman" w:ascii="Times New Roman" w:hAnsi="Times New Roman"/>
                <w:b w:val="false"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ОГРН /*ответчик огрн*/, ИНН </w:t>
            </w:r>
            <w:bookmarkEnd w:id="1"/>
            <w:r>
              <w:rPr>
                <w:rFonts w:eastAsia="Times New Roman" w:cs="Times New Roman" w:ascii="Times New Roman" w:hAnsi="Times New Roman"/>
                <w:b w:val="false"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/*ответчик инн*/)</w:t>
            </w:r>
            <w:bookmarkEnd w:id="0"/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/*ответчик адрес*/</w:t>
            </w:r>
          </w:p>
        </w:tc>
      </w:tr>
    </w:tbl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0"/>
        <w:ind w:firstLine="4111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Цена иска: /*цена иска*/ рублей.</w:t>
      </w:r>
    </w:p>
    <w:p>
      <w:pPr>
        <w:pStyle w:val="normal1"/>
        <w:spacing w:lineRule="auto" w:line="240" w:before="0" w:after="0"/>
        <w:ind w:firstLine="4111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Госпошлина:</w:t>
      </w:r>
      <w:r>
        <w:rPr>
          <w:rFonts w:eastAsia="Times New Roman"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/*госпошлина*/ рублей.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ИСКОВОЕ ЗАЯВЛЕНИЕ</w:t>
      </w:r>
    </w:p>
    <w:p>
      <w:pPr>
        <w:pStyle w:val="normal1"/>
        <w:spacing w:lineRule="auto" w:line="240" w:before="0" w:after="12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о взыскании задолженности за /*поставляемые ресурсы5*/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0" w:before="120" w:after="120"/>
        <w:ind w:hanging="357" w:left="1066" w:right="0"/>
        <w:jc w:val="both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Основной долг. </w:t>
      </w:r>
    </w:p>
    <w:p>
      <w:pPr>
        <w:pStyle w:val="normal1"/>
        <w:spacing w:lineRule="auto" w:line="240" w:before="0" w:after="120"/>
        <w:ind w:firstLine="709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Между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ПАО </w:t>
      </w:r>
      <w:r>
        <w:rPr>
          <w:b/>
          <w:bCs/>
        </w:rPr>
        <w:t>«МОСКОВСКАЯ ОБЪЕДИНЕННАЯ ЭНЕРГЕТИЧЕСКАЯ КОМПАНИЯ»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(далее – ПАО «МОЭК», Истец) и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/*ответчик сокращенное имя*/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(далее – Ответчик) /*мн.ч.7*/ является подача (поставка) Истцом Ответчику /*поставляемые ресурсы*/, на условиях, определенных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/*мн.ч.*/</w:t>
      </w:r>
      <w:r>
        <w:rPr>
          <w:rFonts w:eastAsia="Times New Roman" w:cs="Times New Roman" w:ascii="Times New Roman" w:hAnsi="Times New Roman"/>
          <w:sz w:val="24"/>
          <w:szCs w:val="24"/>
        </w:rPr>
        <w:t>:</w:t>
      </w:r>
    </w:p>
    <w:tbl>
      <w:tblPr>
        <w:tblStyle w:val="Table2"/>
        <w:tblW w:w="93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962"/>
        <w:gridCol w:w="1843"/>
        <w:gridCol w:w="2395"/>
        <w:gridCol w:w="1840"/>
        <w:gridCol w:w="1268"/>
      </w:tblGrid>
      <w:tr>
        <w:trPr>
          <w:trHeight w:val="657" w:hRule="atLeast"/>
          <w:cantSplit w:val="true"/>
        </w:trPr>
        <w:tc>
          <w:tcPr>
            <w:tcW w:w="196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Реквизиты (номер) договора</w:t>
            </w:r>
          </w:p>
        </w:tc>
        <w:tc>
          <w:tcPr>
            <w:tcW w:w="1843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Период</w:t>
            </w:r>
          </w:p>
        </w:tc>
        <w:tc>
          <w:tcPr>
            <w:tcW w:w="2395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Задолженность (основной долг), руб.</w:t>
            </w:r>
          </w:p>
        </w:tc>
        <w:tc>
          <w:tcPr>
            <w:tcW w:w="1840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Срок оплаты</w:t>
            </w:r>
          </w:p>
        </w:tc>
        <w:tc>
          <w:tcPr>
            <w:tcW w:w="126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Пункт договора</w:t>
            </w:r>
          </w:p>
        </w:tc>
      </w:tr>
      <w:tr>
        <w:trPr>
          <w:trHeight w:val="418" w:hRule="atLeast"/>
          <w:cantSplit w:val="true"/>
        </w:trPr>
        <w:tc>
          <w:tcPr>
            <w:tcW w:w="1962" w:type="dxa"/>
            <w:tcBorders>
              <w:left w:val="double" w:sz="2" w:space="0" w:color="000000"/>
              <w:bottom w:val="double" w:sz="2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shd w:fill="auto" w:val="clear"/>
              </w:rPr>
              <w:t>/*номер договора*/</w:t>
            </w:r>
          </w:p>
        </w:tc>
        <w:tc>
          <w:tcPr>
            <w:tcW w:w="1843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/*период*/</w:t>
            </w:r>
          </w:p>
        </w:tc>
        <w:tc>
          <w:tcPr>
            <w:tcW w:w="2395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/*задолженность*/</w:t>
            </w:r>
          </w:p>
        </w:tc>
        <w:tc>
          <w:tcPr>
            <w:tcW w:w="1840" w:type="dxa"/>
            <w:tcBorders>
              <w:left w:val="double" w:sz="2" w:space="0" w:color="000000"/>
              <w:bottom w:val="double" w:sz="2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/*срок оплаты*/</w:t>
            </w:r>
          </w:p>
        </w:tc>
        <w:tc>
          <w:tcPr>
            <w:tcW w:w="1268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360" w:left="720" w:right="0"/>
              <w:jc w:val="both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shd w:fill="auto" w:val="clear"/>
                <w:vertAlign w:val="baseline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shd w:fill="auto" w:val="clear"/>
                <w:vertAlign w:val="baseline"/>
              </w:rPr>
              <w:t>/*пункт*/</w:t>
            </w:r>
          </w:p>
        </w:tc>
      </w:tr>
      <w:tr>
        <w:trPr>
          <w:trHeight w:val="276" w:hRule="atLeast"/>
          <w:cantSplit w:val="true"/>
        </w:trPr>
        <w:tc>
          <w:tcPr>
            <w:tcW w:w="3805" w:type="dxa"/>
            <w:gridSpan w:val="2"/>
            <w:tcBorders>
              <w:left w:val="double" w:sz="2" w:space="0" w:color="000000"/>
              <w:bottom w:val="double" w:sz="2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Сумма:</w:t>
            </w:r>
          </w:p>
        </w:tc>
        <w:tc>
          <w:tcPr>
            <w:tcW w:w="2395" w:type="dxa"/>
            <w:tcBorders>
              <w:left w:val="double" w:sz="2" w:space="0" w:color="000000"/>
              <w:bottom w:val="double" w:sz="2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/*сумма долга*/</w:t>
            </w:r>
          </w:p>
        </w:tc>
        <w:tc>
          <w:tcPr>
            <w:tcW w:w="3108" w:type="dxa"/>
            <w:gridSpan w:val="2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12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Поставка (подача) ресурсов производилась на условиях, определенных /*мн.ч.*/, за плату согласно действующим тарифам.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/*истец сокращенное имя*/ свои обязательства по /*мн.ч.2*/ исполнило в полном объеме, поставив ресурсы (</w:t>
      </w:r>
      <w:r>
        <w:rPr>
          <w:rFonts w:eastAsia="Times New Roman" w:cs="Times New Roman" w:ascii="Times New Roman" w:hAnsi="Times New Roman"/>
          <w:sz w:val="24"/>
          <w:szCs w:val="24"/>
        </w:rPr>
        <w:t>/*тип договора*/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) в соответствии с принятыми на себя обязательствами. Точки поставки (адреса) указаны в /*мн.ч.3*/.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В соответствии с условиями /*мн.ч.4*/ в период, указанный в соответствующей графе вышеизложенной таблицы (далее – Период), Истец поставил Ответчику через присоединенную сеть в соответствии с /*мн.ч.*/ /*тип договора*/, а Ответчик, соответственно, обязан оплатить полученные ресурсы на основании /*мн.ч.5*/ и установленных тарифов для соответствующих групп потребителей.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1136" w:leader="none"/>
        </w:tabs>
        <w:spacing w:lineRule="auto" w:line="240" w:before="0" w:after="0"/>
        <w:ind w:firstLine="709" w:left="0" w:right="0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За Ответчиком по /*мн.ч.6*/ образовалась задолженность </w:t>
        <w:br/>
        <w:t xml:space="preserve">за потребленные ресурсы (/*поставляемые ресурсы3*/) в сумме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/*сумма долга*/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рублей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за указанный выше Период.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1136" w:leader="none"/>
        </w:tabs>
        <w:spacing w:lineRule="auto" w:line="240" w:before="0" w:after="0"/>
        <w:ind w:firstLine="709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/*мн.ч.*/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 xml:space="preserve">/*список разделов*/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определены порядок и сроки взаиморасчетов за потребленные ресурсы, которые существенно нарушены Ответчиком.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Факт поставки /*поставляемые ресурсы2*/ в указанном в настоящем Иске количестве подтверждается соответствующими документами, прилагаемыми к настоящему иску, в том числе: актами приема-передачи энергоресурсов, счетами на оплату, счетами-фактурами.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Таким образом, Истец свои обязательства по /*мн.ч.2*/ исполнил надлежащим образом и в полном объеме, поставив Ответчику /*поставляемые ресурсы3*/ в соответствии с принятыми на себя обязательствами в отношении количества, качества и сроков их поставки. Ответчик оплату в полном размере не произвел.</w:t>
      </w:r>
    </w:p>
    <w:p>
      <w:pPr>
        <w:pStyle w:val="NoSpacing"/>
        <w:pageBreakBefore w:val="false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В соответствии с п. 1 ст. 539 Гражданского кодекса Российской Федерации (далее – «ГК РФ») по договору энергоснабжения энергоснабжающая организация обязуется подавать абоненту (потребителю) через присоединенную сеть энергию, а абонент обязуется оплачивать принятую энергию, а также соблюдать предусмотренный договором режим ее потребления, обеспечивать безопасность эксплуатации находящихся в его ведении энергетических сетей и исправность используемых им приборов и оборудования, связанных с потреблением энергии.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Согласно п. 1 ст. 544 ГК РФ оплата энергии производится за фактически принятое абонентом количество энергии в соответствии с данными учета энергии, если иное </w:t>
        <w:br/>
        <w:t>не предусмотрено законом, иными правовыми актами или соглашением сторон договора энергоснабжения (купли-продажи (поставки) энергии).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2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В силу ст. ст. 309, 310 ГК РФ обязательства должны исполняться надлежащим образом в соответствии с условиями обязательства и требованиями закона, иных правовых актов. Односторонний отказ от исполнения обязательства и одностороннее изменение его условий не допускаются за исключением случаев, предусмотренных действующим законодательством.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0" w:before="120" w:after="120"/>
        <w:ind w:hanging="357" w:left="1066" w:right="0"/>
        <w:jc w:val="both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Соблюдение претензионного порядка.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120" w:after="0"/>
        <w:ind w:firstLine="709" w:left="0" w:right="0"/>
        <w:jc w:val="both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Поскольку Ответчик свои обязательства по оплате поставленной /*поставляемые ресурсы4*/ исполнил ненадлежащим образом, Истцом направлен/*направлен окончание*/ в его адрес 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претензи/*претензия окончание и.п*/: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hanging="357" w:left="992" w:right="0"/>
        <w:jc w:val="both"/>
        <w:rPr>
          <w:highlight w:val="none"/>
          <w:shd w:fill="auto" w:val="clear"/>
        </w:rPr>
      </w:pPr>
      <w:bookmarkStart w:id="2" w:name="_heading=h.ra5tosunmtw0"/>
      <w:bookmarkEnd w:id="2"/>
      <w:r>
        <w:rPr>
          <w:rFonts w:eastAsia="Times New Roman" w:cs="Times New Roman" w:ascii="Times New Roman" w:hAnsi="Times New Roman"/>
          <w:b/>
          <w:sz w:val="24"/>
          <w:szCs w:val="24"/>
          <w:shd w:fill="auto" w:val="clear"/>
        </w:rPr>
        <w:t>list/*номер претензии*/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;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20"/>
        <w:ind w:hanging="0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 предложением погасить образовавшуюся задолженность за /*поставляемые ресурсы4*/, котор/*которая окончание*/ оставлен/*оставлен окончание*/ Ответчиком без ответа. Задолженность в полном объеме не погашена. Копи/*копия окончание*/ претензи/*претензии окончание р.п*/, а также документация в отношении направления/получения /*её число*/ Ответчиком, соблюдения претензионного порядка прилагаются к настоящему иску.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0" w:before="120" w:after="120"/>
        <w:ind w:hanging="357" w:left="1066" w:right="0"/>
        <w:jc w:val="both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Неустойка.</w:t>
      </w:r>
    </w:p>
    <w:p>
      <w:pPr>
        <w:pStyle w:val="normal1"/>
        <w:spacing w:lineRule="auto" w:line="240" w:before="0" w:after="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/*абзац важный*/</w:t>
      </w:r>
    </w:p>
    <w:p>
      <w:pPr>
        <w:pStyle w:val="normal1"/>
        <w:spacing w:lineRule="auto" w:line="240" w:before="0" w:after="120"/>
        <w:ind w:firstLine="709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Пунктом 1 Постановления Правительства РФ от 26.03.2022 г. № 474</w:t>
        <w:br/>
        <w:t xml:space="preserve">«О некоторых особенностях регулирования жилищных отношений в 2022 - 2024 годах», пунктом 1 Постановления Правительства РФ от 29 декабря 2023 г. № 2382 </w:t>
        <w:br/>
        <w:t xml:space="preserve">«О внесении изменений в постановление Правительства Российской Федерации от 26 марта 2022 г. № 474»), пунктом 1 Постановления Правительства РФ от 18 марта 2025 г. № 329 «О некоторых особенностях регулирования жилищных отношений в 2025 - 2026 годах» установлено, что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в период с 28 февраля 2022 года до 1 января 2027 года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начисление и уплата пени в случае неполного и (или) несвоевременного внесения платы за жилое помещение и коммунальные услуги, взносов на капитальный ремонт, установленных жилищным законодательством Российской Федерации, а также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начисление и взыскание неустойки (штрафа, пени) за несвоевременное и (или) не полностью исполненное юридическими лицами </w:t>
      </w:r>
      <w:r>
        <w:rPr>
          <w:rFonts w:eastAsia="Times New Roman" w:cs="Times New Roman" w:ascii="Times New Roman" w:hAnsi="Times New Roman"/>
          <w:sz w:val="24"/>
          <w:szCs w:val="24"/>
        </w:rPr>
        <w:t>и индивидуальными предпринимателями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обязательство по оплате услуг, предоставляемых на основании договоров в соответствии с законодательством Российской Федерации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о газоснабжении, об электроэнергетике,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о теплоснабжении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о водоснабжении и водоотведении,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об обращении с твердыми коммунальными отходами,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осуществляются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в порядке, предусмотренном указанным законодательством Российской Федерации,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исходя из минимального значения ключевой ставки Центрального банка Российской Федерации из следующих значений: </w:t>
      </w:r>
      <w:r>
        <w:rPr>
          <w:rFonts w:eastAsia="Times New Roman" w:cs="Times New Roman" w:ascii="Times New Roman" w:hAnsi="Times New Roman"/>
          <w:b/>
          <w:sz w:val="24"/>
          <w:szCs w:val="24"/>
          <w:u w:val="single"/>
        </w:rPr>
        <w:t>ключевая ставка Центрального банка Российской Федерации, действующая по состоянию на 27 февраля 2022 г., и ключевая ставка Банка России, действующая на день фактической оплаты.</w:t>
      </w:r>
    </w:p>
    <w:p>
      <w:pPr>
        <w:pStyle w:val="normal1"/>
        <w:spacing w:lineRule="auto" w:line="240" w:before="120" w:after="12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Исходя из размера Основного долга и Периода задолженности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неустойка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по /*мн.ч.2*/ сос</w:t>
      </w:r>
      <w:r>
        <w:rPr>
          <w:rFonts w:eastAsia="Times New Roman" w:cs="Times New Roman" w:ascii="Times New Roman" w:hAnsi="Times New Roman"/>
          <w:sz w:val="24"/>
          <w:szCs w:val="24"/>
        </w:rPr>
        <w:t>тавляет:</w:t>
      </w:r>
    </w:p>
    <w:tbl>
      <w:tblPr>
        <w:tblStyle w:val="Table3"/>
        <w:tblW w:w="932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110"/>
        <w:gridCol w:w="1847"/>
        <w:gridCol w:w="1698"/>
        <w:gridCol w:w="1420"/>
        <w:gridCol w:w="2249"/>
      </w:tblGrid>
      <w:tr>
        <w:trPr>
          <w:trHeight w:val="846" w:hRule="atLeast"/>
        </w:trPr>
        <w:tc>
          <w:tcPr>
            <w:tcW w:w="2110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Реквизиты (номер) договора</w:t>
            </w:r>
          </w:p>
        </w:tc>
        <w:tc>
          <w:tcPr>
            <w:tcW w:w="1847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Период</w:t>
            </w:r>
          </w:p>
        </w:tc>
        <w:tc>
          <w:tcPr>
            <w:tcW w:w="16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Задолженность (основной долг), руб.</w:t>
            </w:r>
          </w:p>
        </w:tc>
        <w:tc>
          <w:tcPr>
            <w:tcW w:w="1420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Неустойка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руб.</w:t>
            </w:r>
          </w:p>
        </w:tc>
        <w:tc>
          <w:tcPr>
            <w:tcW w:w="2249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Итого по договору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(неустойка + основной долг), сумма, руб.</w:t>
            </w:r>
          </w:p>
        </w:tc>
      </w:tr>
      <w:tr>
        <w:trPr>
          <w:trHeight w:val="680" w:hRule="atLeast"/>
        </w:trPr>
        <w:tc>
          <w:tcPr>
            <w:tcW w:w="211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shd w:fill="auto" w:val="clear"/>
              </w:rPr>
              <w:t>/*номер договора*/</w:t>
            </w:r>
          </w:p>
        </w:tc>
        <w:tc>
          <w:tcPr>
            <w:tcW w:w="1847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/*период*/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/*задолженность*/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/*неустойка*/</w:t>
            </w:r>
          </w:p>
        </w:tc>
        <w:tc>
          <w:tcPr>
            <w:tcW w:w="224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/*неустойка+задолженность*/</w:t>
            </w:r>
          </w:p>
        </w:tc>
      </w:tr>
      <w:tr>
        <w:trPr>
          <w:trHeight w:val="411" w:hRule="atLeast"/>
        </w:trPr>
        <w:tc>
          <w:tcPr>
            <w:tcW w:w="3957" w:type="dxa"/>
            <w:gridSpan w:val="2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ИТОГО: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/*сумма долга*/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/*неустойка общая*/</w:t>
            </w:r>
          </w:p>
        </w:tc>
        <w:tc>
          <w:tcPr>
            <w:tcW w:w="224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/*цена иска*/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120" w:after="120"/>
        <w:ind w:firstLine="709" w:left="0" w:right="0"/>
        <w:jc w:val="both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Расчет суммы неустойки прилагается к настоящему исковому заявлению.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bookmarkStart w:id="3" w:name="_heading=h.k52ivkynkc9v"/>
      <w:bookmarkEnd w:id="3"/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Таким образом, общая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>цена иска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составляет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/*цена иска*/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рублей.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2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bookmarkStart w:id="4" w:name="_heading=h.iyq143tfb8u6"/>
      <w:bookmarkEnd w:id="4"/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Размер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>государственной пошлины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составляет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/*госпошлина*/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рублей.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На основании вышеизложенного, в соответствии со статьями 309, 310, 395, 539, 541, 544 Гражданского кодекса РФ, /*нужная статья*/, статьями 4, 125 Арбитражного процессуального кодекса Российской Федерации,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40" w:after="240"/>
        <w:ind w:firstLine="567" w:left="0" w:right="0"/>
        <w:jc w:val="center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ПРОСИМ СУД: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12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Взыскать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с Ответчика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/*ответчик полное имя*/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(ОГРН </w:t>
      </w:r>
      <w:r>
        <w:rPr>
          <w:rFonts w:eastAsia="Times New Roman" w:cs="Times New Roman" w:ascii="Times New Roman" w:hAnsi="Times New Roman"/>
          <w:sz w:val="24"/>
          <w:szCs w:val="24"/>
        </w:rPr>
        <w:t>/*ответчик огрн*/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ИНН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/*ответчик инн*/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) в пользу Истца ПУБЛИЧНОЕ АКЦИОНЕРНОЕ ОБЩЕСТВО «МОСКОВСКАЯ ОБЪЕДИНЕННАЯ ЭНЕРГЕТИЧЕСКАЯ КОМПАНИЯ» (ОГРН /*истец огрн*/, ИНН /*истец инн*/) задолженность (основной долг) и неустойку по /*мн.ч.2*/ в общем размере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/*цена иска*/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рублей, в том числе: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40" w:before="0" w:after="0"/>
        <w:ind w:hanging="426" w:left="993" w:right="0"/>
        <w:jc w:val="both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по Договору 05.403297-ТЭ от 01.08.2017: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993" w:right="0"/>
        <w:jc w:val="both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shd w:fill="auto" w:val="clear"/>
        </w:rPr>
        <w:t>/*задолженность*/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руб. – основной долг за период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>/*период*/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;</w:t>
      </w:r>
    </w:p>
    <w:p>
      <w:pPr>
        <w:pStyle w:val="NoSpacing"/>
        <w:ind w:left="993"/>
        <w:jc w:val="both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eastAsia="ru-RU"/>
        </w:rPr>
        <w:t>/*доля годовой корректировки*/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eastAsia="ru-RU"/>
        </w:rPr>
        <w:t xml:space="preserve"> руб. – доля годовой корректировки за /*год корректировки*/ год за период /*период корректировки*/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;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993" w:right="0"/>
        <w:jc w:val="both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shd w:fill="auto" w:val="clear"/>
        </w:rPr>
        <w:t>/*неустойка*/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руб. – неустойку за период с /*период неустойки 1*/ по /*период неустойки 2*/;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20"/>
        <w:ind w:hanging="0" w:left="992" w:right="0"/>
        <w:jc w:val="both"/>
        <w:rPr>
          <w:highlight w:val="none"/>
          <w:shd w:fill="auto" w:val="clear"/>
        </w:rPr>
      </w:pPr>
      <w:bookmarkStart w:id="5" w:name="_heading=h.5z6qu5hcxdqu"/>
      <w:bookmarkEnd w:id="5"/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неустойку по день фактического исполнения обязательства, начиная с /*начальная дата неустойки*/ года, рассчитанную исходя из 1/130 ставки рефинансирования Банка России;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12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Взыскать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с Ответчика /*ответчик полное имя*/ (ОГРН </w:t>
      </w:r>
      <w:r>
        <w:rPr>
          <w:rFonts w:eastAsia="Times New Roman" w:cs="Times New Roman" w:ascii="Times New Roman" w:hAnsi="Times New Roman"/>
          <w:sz w:val="24"/>
          <w:szCs w:val="24"/>
        </w:rPr>
        <w:t>/*ответчик огрн*/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ИНН </w:t>
      </w:r>
      <w:r>
        <w:rPr>
          <w:rFonts w:eastAsia="Times New Roman" w:cs="Times New Roman" w:ascii="Times New Roman" w:hAnsi="Times New Roman"/>
          <w:sz w:val="24"/>
          <w:szCs w:val="24"/>
        </w:rPr>
        <w:t>/*ответчик инн*/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) в пользу Истца ПУБЛИЧНОЕ АКЦИОНЕРНОЕ ОБЩЕСТВО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«МОСКОВСКАЯ ОБЪЕДИНЕННАЯ ЭНЕРГЕТИЧЕСКАЯ КОМПАНИЯ»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(ОГРН /*истец огрн*/, ИНН /*истец инн*/) расходы по оплате государственной пошлины  за подачу настоящего иска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/*госпошлина*/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рублей.</w:t>
      </w:r>
    </w:p>
    <w:p>
      <w:pPr>
        <w:pStyle w:val="normal1"/>
        <w:tabs>
          <w:tab w:val="clear" w:pos="720"/>
          <w:tab w:val="left" w:pos="851" w:leader="none"/>
          <w:tab w:val="left" w:pos="11057" w:leader="none"/>
        </w:tabs>
        <w:spacing w:lineRule="auto" w:line="240" w:before="0" w:after="6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tabs>
          <w:tab w:val="clear" w:pos="720"/>
          <w:tab w:val="left" w:pos="851" w:leader="none"/>
          <w:tab w:val="left" w:pos="11057" w:leader="none"/>
        </w:tabs>
        <w:spacing w:lineRule="auto" w:line="240" w:before="0" w:after="6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tabs>
          <w:tab w:val="clear" w:pos="720"/>
          <w:tab w:val="left" w:pos="851" w:leader="none"/>
          <w:tab w:val="left" w:pos="11057" w:leader="none"/>
        </w:tabs>
        <w:spacing w:lineRule="auto" w:line="240" w:before="0" w:after="6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Приложения: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spacing w:lineRule="auto" w:line="240" w:before="0" w:after="0"/>
        <w:ind w:hanging="425" w:left="567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360" w:left="36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360" w:left="36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360" w:left="36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tbl>
      <w:tblPr>
        <w:tblStyle w:val="Table4"/>
        <w:tblW w:w="9349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678"/>
        <w:gridCol w:w="2545"/>
        <w:gridCol w:w="2126"/>
      </w:tblGrid>
      <w:tr>
        <w:trPr/>
        <w:tc>
          <w:tcPr>
            <w:tcW w:w="4678" w:type="dxa"/>
            <w:tcBorders/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Представитель ПАО «МОЭК»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360" w:left="360" w:right="0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singl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по доверенности</w:t>
            </w:r>
          </w:p>
        </w:tc>
        <w:tc>
          <w:tcPr>
            <w:tcW w:w="2545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360" w:left="360" w:right="0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singl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single"/>
                <w:shd w:fill="auto" w:val="clear"/>
                <w:vertAlign w:val="baseline"/>
              </w:rPr>
            </w:r>
          </w:p>
        </w:tc>
        <w:tc>
          <w:tcPr>
            <w:tcW w:w="2126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360" w:left="360" w:right="0"/>
              <w:jc w:val="right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360" w:left="360" w:right="0"/>
              <w:jc w:val="right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S</w:t>
            </w: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P</w:t>
            </w: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N</w:t>
            </w: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S</w:t>
            </w: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N</w:t>
            </w: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M</w:t>
            </w: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E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1" w:gutter="0" w:header="0" w:top="851" w:footer="306" w:bottom="851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">
    <w:charset w:val="01"/>
    <w:family w:val="swiss"/>
    <w:pitch w:val="variable"/>
  </w:font>
  <w:font w:name="Times New Roman">
    <w:charset w:val="01"/>
    <w:family w:val="roman"/>
    <w:pitch w:val="variable"/>
  </w:font>
  <w:font w:name="Noto Sans Symbols">
    <w:charset w:val="01"/>
    <w:family w:val="swiss"/>
    <w:pitch w:val="variable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hanging="0" w:left="0" w:right="0"/>
      <w:jc w:val="righ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hanging="0" w:left="0" w:right="0"/>
      <w:jc w:val="righ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  <w:rPr>
        <w:b/>
        <w:rFonts w:ascii="Times New Roman" w:hAnsi="Times New Roman" w:eastAsia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1571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011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731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171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891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331" w:hanging="360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5">
    <w:lvl w:ilvl="0">
      <w:start w:val="1"/>
      <w:numFmt w:val="decimal"/>
      <w:lvlText w:val="%1)"/>
      <w:lvlJc w:val="left"/>
      <w:pPr>
        <w:tabs>
          <w:tab w:val="num" w:pos="0"/>
        </w:tabs>
        <w:ind w:left="1004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44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16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8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0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2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04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764" w:hanging="18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Основной текст (2)_"/>
    <w:link w:val="21"/>
    <w:uiPriority w:val="99"/>
    <w:qFormat/>
    <w:locked/>
    <w:rsid w:val="00940e25"/>
    <w:rPr>
      <w:shd w:fill="FFFFFF" w:val="clear"/>
    </w:rPr>
  </w:style>
  <w:style w:type="character" w:styleId="Style8" w:customStyle="1">
    <w:name w:val="Верхний колонтитул Знак"/>
    <w:basedOn w:val="DefaultParagraphFont"/>
    <w:uiPriority w:val="99"/>
    <w:qFormat/>
    <w:rsid w:val="00a9586a"/>
    <w:rPr>
      <w:rFonts w:ascii="Calibri" w:hAnsi="Calibri" w:eastAsia="Times New Roman" w:cs="Calibri"/>
    </w:rPr>
  </w:style>
  <w:style w:type="character" w:styleId="Style9" w:customStyle="1">
    <w:name w:val="Нижний колонтитул Знак"/>
    <w:basedOn w:val="DefaultParagraphFont"/>
    <w:uiPriority w:val="99"/>
    <w:qFormat/>
    <w:rsid w:val="00a9586a"/>
    <w:rPr>
      <w:rFonts w:ascii="Calibri" w:hAnsi="Calibri" w:eastAsia="Times New Roman" w:cs="Calibri"/>
    </w:rPr>
  </w:style>
  <w:style w:type="character" w:styleId="Style10" w:customStyle="1">
    <w:name w:val="Текст выноски Знак"/>
    <w:basedOn w:val="DefaultParagraphFont"/>
    <w:link w:val="BalloonText"/>
    <w:uiPriority w:val="99"/>
    <w:semiHidden/>
    <w:qFormat/>
    <w:rsid w:val="00e541cd"/>
    <w:rPr>
      <w:rFonts w:ascii="Segoe UI" w:hAnsi="Segoe UI" w:eastAsia="Times New Roman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82234"/>
    <w:rPr>
      <w:sz w:val="16"/>
      <w:szCs w:val="16"/>
    </w:rPr>
  </w:style>
  <w:style w:type="character" w:styleId="Style11" w:customStyle="1">
    <w:name w:val="Текст примечания Знак"/>
    <w:basedOn w:val="DefaultParagraphFont"/>
    <w:uiPriority w:val="99"/>
    <w:semiHidden/>
    <w:qFormat/>
    <w:rsid w:val="00282234"/>
    <w:rPr>
      <w:rFonts w:ascii="Calibri" w:hAnsi="Calibri" w:eastAsia="Times New Roman" w:cs="Calibri"/>
      <w:sz w:val="20"/>
      <w:szCs w:val="20"/>
    </w:rPr>
  </w:style>
  <w:style w:type="character" w:styleId="Style12" w:customStyle="1">
    <w:name w:val="Тема примечания Знак"/>
    <w:basedOn w:val="Style11"/>
    <w:link w:val="annotationsubject"/>
    <w:uiPriority w:val="99"/>
    <w:semiHidden/>
    <w:qFormat/>
    <w:rsid w:val="00282234"/>
    <w:rPr>
      <w:rFonts w:ascii="Calibri" w:hAnsi="Calibri" w:eastAsia="Times New Roman" w:cs="Calibri"/>
      <w:b/>
      <w:bCs/>
      <w:sz w:val="20"/>
      <w:szCs w:val="20"/>
    </w:rPr>
  </w:style>
  <w:style w:type="character" w:styleId="layout" w:customStyle="1">
    <w:name w:val="layout"/>
    <w:basedOn w:val="DefaultParagraphFont"/>
    <w:qFormat/>
    <w:rsid w:val="00094b05"/>
    <w:rPr/>
  </w:style>
  <w:style w:type="character" w:styleId="LineNumber">
    <w:name w:val="line number"/>
    <w:rPr/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40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NoSpacing">
    <w:name w:val="No Spacing"/>
    <w:uiPriority w:val="99"/>
    <w:qFormat/>
    <w:rsid w:val="00940e25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Times New Roman" w:cs="Calibri"/>
      <w:color w:val="auto"/>
      <w:kern w:val="0"/>
      <w:sz w:val="22"/>
      <w:szCs w:val="22"/>
      <w:lang w:val="ru-RU" w:eastAsia="zh-CN" w:bidi="hi-IN"/>
    </w:rPr>
  </w:style>
  <w:style w:type="paragraph" w:styleId="21" w:customStyle="1">
    <w:name w:val="Основной текст (2)"/>
    <w:link w:val="2"/>
    <w:uiPriority w:val="99"/>
    <w:qFormat/>
    <w:rsid w:val="00940e25"/>
    <w:pPr>
      <w:widowControl w:val="false"/>
      <w:shd w:val="clear" w:color="auto" w:fill="FFFFFF"/>
      <w:suppressAutoHyphens w:val="true"/>
      <w:bidi w:val="0"/>
      <w:spacing w:lineRule="exact" w:line="264" w:before="240" w:after="0"/>
      <w:jc w:val="both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zh-CN" w:bidi="hi-IN"/>
    </w:rPr>
  </w:style>
  <w:style w:type="paragraph" w:styleId="1" w:customStyle="1">
    <w:name w:val="Стиль1"/>
    <w:uiPriority w:val="99"/>
    <w:qFormat/>
    <w:rsid w:val="004e1112"/>
    <w:pPr>
      <w:widowControl/>
      <w:numPr>
        <w:ilvl w:val="0"/>
        <w:numId w:val="1"/>
      </w:numPr>
      <w:suppressAutoHyphens w:val="true"/>
      <w:bidi w:val="0"/>
      <w:spacing w:lineRule="auto" w:line="240" w:before="0" w:after="0"/>
      <w:jc w:val="both"/>
    </w:pPr>
    <w:rPr>
      <w:rFonts w:ascii="Calibri" w:hAnsi="Calibri" w:eastAsia="Calibri" w:cs="Times New Roman"/>
      <w:color w:val="auto"/>
      <w:kern w:val="0"/>
      <w:sz w:val="28"/>
      <w:szCs w:val="28"/>
      <w:lang w:val="ru-RU" w:eastAsia="ru-RU" w:bidi="hi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link w:val="Style8"/>
    <w:uiPriority w:val="99"/>
    <w:unhideWhenUsed/>
    <w:rsid w:val="00a9586a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HeaderandFooter"/>
    <w:link w:val="Style9"/>
    <w:uiPriority w:val="99"/>
    <w:unhideWhenUsed/>
    <w:rsid w:val="00a9586a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uiPriority w:val="34"/>
    <w:qFormat/>
    <w:rsid w:val="00380526"/>
    <w:pPr>
      <w:widowControl/>
      <w:suppressAutoHyphens w:val="true"/>
      <w:bidi w:val="0"/>
      <w:spacing w:lineRule="auto" w:line="276" w:before="0" w:after="200"/>
      <w:ind w:left="72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BalloonText">
    <w:name w:val="Balloon Text"/>
    <w:link w:val="Style10"/>
    <w:uiPriority w:val="99"/>
    <w:semiHidden/>
    <w:unhideWhenUsed/>
    <w:qFormat/>
    <w:rsid w:val="00e541cd"/>
    <w:pPr>
      <w:widowControl/>
      <w:suppressAutoHyphens w:val="true"/>
      <w:bidi w:val="0"/>
      <w:spacing w:lineRule="auto" w:line="240" w:before="0" w:after="0"/>
      <w:jc w:val="left"/>
    </w:pPr>
    <w:rPr>
      <w:rFonts w:ascii="Segoe UI" w:hAnsi="Segoe UI" w:eastAsia="Calibri" w:cs="Segoe UI"/>
      <w:color w:val="auto"/>
      <w:kern w:val="0"/>
      <w:sz w:val="18"/>
      <w:szCs w:val="18"/>
      <w:lang w:val="ru-RU" w:eastAsia="zh-CN" w:bidi="hi-IN"/>
    </w:rPr>
  </w:style>
  <w:style w:type="paragraph" w:styleId="CommentText">
    <w:name w:val="annotation text"/>
    <w:basedOn w:val="BodyText"/>
    <w:link w:val="Style11"/>
    <w:uiPriority w:val="99"/>
    <w:semiHidden/>
    <w:unhideWhenUsed/>
    <w:rsid w:val="00282234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2"/>
    <w:uiPriority w:val="99"/>
    <w:semiHidden/>
    <w:unhideWhenUsed/>
    <w:qFormat/>
    <w:rsid w:val="00282234"/>
    <w:pPr/>
    <w:rPr>
      <w:b/>
      <w:bCs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Style15">
    <w:name w:val="Содержимое таблицы"/>
    <w:basedOn w:val="Normal"/>
    <w:qFormat/>
    <w:pPr>
      <w:widowControl w:val="false"/>
      <w:suppressLineNumbers/>
    </w:pPr>
    <w:rPr/>
  </w:style>
  <w:style w:type="paragraph" w:styleId="Style16">
    <w:name w:val="Заголовок таблицы"/>
    <w:basedOn w:val="Style15"/>
    <w:qFormat/>
    <w:pPr>
      <w:suppressLineNumbers/>
      <w:jc w:val="center"/>
    </w:pPr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TableNormal">
    <w:name w:val="Table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rsid w:val="004e111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kbEVmSa7XaE7qrXI1/YbPLLDQg==">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572</TotalTime>
  <Application>LibreOffice/25.2.7.2$Linux_X86_64 LibreOffice_project/7352e658ec7fb6dfcbe103e0f4f1c30e34085f91</Application>
  <AppVersion>15.0000</AppVersion>
  <Pages>3</Pages>
  <Words>983</Words>
  <Characters>6999</Characters>
  <CharactersWithSpaces>7914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2024-06-25T08:20:00Z</dcterms:created>
  <dc:creator/>
  <dc:description/>
  <dc:language>ru-RU</dc:language>
  <cp:lastModifiedBy/>
  <dcterms:modified xsi:type="dcterms:W3CDTF">2026-02-14T17:58:39Z</dcterms:modified>
  <cp:revision>129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