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93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033"/>
        <w:gridCol w:w="5320"/>
      </w:tblGrid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Арбитражный суд города Москвы</w:t>
            </w:r>
          </w:p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ПУБЛИЧНОЕ АКЦИОНЕРНОЕ ОБЩЕСТВО «ИСТЕЦ»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  <w:t>(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shd w:fill="FFFFFF" w:val="clear"/>
              </w:rPr>
              <w:t>ОГРН Истец ОГРН 1,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  <w:t xml:space="preserve"> ИНН Истец ИНН 1)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119526, Москва, пр-кт Истец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121596, г. Москва, а/я 19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eastAsia="ru-RU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eastAsia="ru-RU"/>
              </w:rPr>
              <w:t xml:space="preserve">ОБЩЕСТВО С ОГРАНИЧЕННОЙ ОТВЕТСТВЕННОСТЬЮ «ОТВЕТЧИК» </w:t>
            </w:r>
            <w:bookmarkStart w:id="0" w:name="_Hlk114824218"/>
            <w:r>
              <w:rPr>
                <w:rFonts w:eastAsia="Times New Roman" w:cs="Times New Roman" w:ascii="Times New Roman" w:hAnsi="Times New Roman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br/>
              <w:t>(</w:t>
            </w:r>
            <w:bookmarkStart w:id="1" w:name="_Hlk114824262"/>
            <w:r>
              <w:rPr>
                <w:rFonts w:eastAsia="Times New Roman" w:cs="Times New Roman" w:ascii="Times New Roman" w:hAnsi="Times New Roman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ОГРН Ответчик ОГРН 2, ИНН </w:t>
            </w:r>
            <w:bookmarkEnd w:id="1"/>
            <w:r>
              <w:rPr>
                <w:rFonts w:eastAsia="Times New Roman" w:cs="Times New Roman" w:ascii="Times New Roman" w:hAnsi="Times New Roman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Ответчик ИНН 2)</w:t>
            </w:r>
            <w:bookmarkEnd w:id="0"/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119285, Москва, Муниципальный Округ Ответчика</w:t>
            </w:r>
          </w:p>
        </w:tc>
      </w:tr>
    </w:tbl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ind w:firstLine="411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Цена иска: 546 167,56 руб. рублей.</w:t>
      </w:r>
    </w:p>
    <w:p>
      <w:pPr>
        <w:pStyle w:val="normal1"/>
        <w:spacing w:lineRule="auto" w:line="240" w:before="0" w:after="0"/>
        <w:ind w:firstLine="411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Госпошлина: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32 308,00 руб. рублей.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ИСКОВОЕ ЗАЯВЛЕНИЕ</w:t>
      </w:r>
    </w:p>
    <w:p>
      <w:pPr>
        <w:pStyle w:val="normal1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о взыскании задолженности за тепловую энергию и теплоноситель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120" w:after="120"/>
        <w:ind w:hanging="357" w:left="1066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Основной долг. </w:t>
      </w:r>
    </w:p>
    <w:p>
      <w:pPr>
        <w:pStyle w:val="normal1"/>
        <w:spacing w:lineRule="auto" w:line="240" w:before="0" w:after="12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Между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ПУБЛИЧНОЕ АКЦИОНЕРНОЕ ОБЩЕСТВО «ИСТЕЦ»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(далее – </w:t>
        <w:br/>
        <w:t xml:space="preserve">ПАО «ИСТЕЦ», Истец) и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ООО «ОТВЕТЧИК»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(далее – Ответчик) предметом которых является подача (поставка) Истцом Ответчику тепловой энергии и/или теплоносителя (далее – ТЭ), на условиях, определенных Договорами:</w:t>
      </w:r>
    </w:p>
    <w:tbl>
      <w:tblPr>
        <w:tblStyle w:val="Table2"/>
        <w:tblW w:w="93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962"/>
        <w:gridCol w:w="1843"/>
        <w:gridCol w:w="2395"/>
        <w:gridCol w:w="1840"/>
        <w:gridCol w:w="1268"/>
      </w:tblGrid>
      <w:tr>
        <w:trPr>
          <w:trHeight w:val="657" w:hRule="atLeast"/>
          <w:cantSplit w:val="true"/>
        </w:trPr>
        <w:tc>
          <w:tcPr>
            <w:tcW w:w="1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Период</w:t>
            </w:r>
          </w:p>
        </w:tc>
        <w:tc>
          <w:tcPr>
            <w:tcW w:w="23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Задолженность (основной долг), руб.</w:t>
            </w:r>
          </w:p>
        </w:tc>
        <w:tc>
          <w:tcPr>
            <w:tcW w:w="18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Срок оплаты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Пункт договора</w:t>
            </w:r>
          </w:p>
        </w:tc>
      </w:tr>
      <w:tr>
        <w:trPr>
          <w:trHeight w:val="418" w:hRule="atLeast"/>
          <w:cantSplit w:val="true"/>
        </w:trPr>
        <w:tc>
          <w:tcPr>
            <w:tcW w:w="1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shd w:fill="auto" w:val="clear"/>
              </w:rPr>
              <w:t>№ 04.303360-ТЭ от 01.01.2012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12.2024-04.2025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2 387 185,10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До 20 числа месяца, следующего за расчётным</w:t>
            </w:r>
          </w:p>
        </w:tc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720" w:right="0"/>
              <w:jc w:val="both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shd w:fill="auto" w:val="clear"/>
                <w:vertAlign w:val="baseline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shd w:fill="auto" w:val="clear"/>
                <w:vertAlign w:val="baseline"/>
              </w:rPr>
              <w:t>4.5</w:t>
            </w:r>
          </w:p>
        </w:tc>
      </w:tr>
      <w:tr>
        <w:trPr>
          <w:trHeight w:val="418" w:hRule="atLeast"/>
        </w:trPr>
        <w:tc>
          <w:tcPr>
            <w:tcW w:type="dxa" w:w="1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</w:rPr>
              <w:t>№ 04.303360ГВС от 01.01.2012</w:t>
            </w:r>
          </w:p>
        </w:tc>
        <w:tc>
          <w:tcPr>
            <w:tcW w:type="dxa" w:w="18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</w:rPr>
              <w:t>01.2025-02.2025</w:t>
            </w:r>
          </w:p>
        </w:tc>
        <w:tc>
          <w:tcPr>
            <w:tcW w:type="dxa" w:w="2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</w:rPr>
              <w:t>617 756,70</w:t>
            </w:r>
          </w:p>
        </w:tc>
        <w:tc>
          <w:tcPr>
            <w:tcW w:type="dxa" w:w="18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</w:rPr>
              <w:t>До 20 числа месяца, следующего за расчётным</w:t>
            </w:r>
          </w:p>
        </w:tc>
        <w:tc>
          <w:tcPr>
            <w:tcW w:type="dxa" w:w="12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shd w:fill="FFFFFF" w:val="clear"/>
          </w:tcPr>
          <w:p>
            <w:pPr>
              <w:keepNext w:val="0"/>
              <w:keepLines w:val="0"/>
              <w:widowControl/>
              <w:spacing w:before="0" w:after="0" w:line="240" w:lineRule="auto"/>
              <w:ind w:left="720" w:right="0" w:hanging="360"/>
              <w:jc w:val="both"/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color w:val="000000"/>
                <w:sz w:val="24"/>
              </w:rPr>
              <w:t>4.6</w:t>
            </w:r>
          </w:p>
        </w:tc>
      </w:tr>
      <w:tr>
        <w:trPr>
          <w:trHeight w:val="276" w:hRule="atLeast"/>
          <w:cantSplit w:val="true"/>
        </w:trPr>
        <w:tc>
          <w:tcPr>
            <w:tcW w:w="3805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Сумма:</w:t>
            </w:r>
          </w:p>
        </w:tc>
        <w:tc>
          <w:tcPr>
            <w:tcW w:w="2395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3 004 941,80</w:t>
            </w:r>
          </w:p>
        </w:tc>
        <w:tc>
          <w:tcPr>
            <w:tcW w:w="3108" w:type="dxa"/>
            <w:gridSpan w:val="2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Поставка (подача) ресурсов производилась на условиях, определенных Договорами, за плату согласно действующим тарифам.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ПАО «ИСТЕЦ» свои обязательства по Договорам исполнило в полном объеме, поставив ресурсы (</w:t>
      </w:r>
      <w:r>
        <w:rPr>
          <w:rFonts w:eastAsia="Times New Roman" w:cs="Times New Roman" w:ascii="Times New Roman" w:hAnsi="Times New Roman"/>
          <w:sz w:val="24"/>
          <w:szCs w:val="24"/>
        </w:rPr>
        <w:t>ТЭ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) в соответствии с принятыми </w:t>
        <w:br/>
        <w:t>на себя обязательствами. Точки поставки (адреса) указаны в названных Договорах.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В соответствии с условиями Договоров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Договором </w:t>
      </w:r>
      <w:r>
        <w:rPr>
          <w:rFonts w:eastAsia="Times New Roman" w:cs="Times New Roman" w:ascii="Times New Roman" w:hAnsi="Times New Roman"/>
          <w:sz w:val="24"/>
          <w:szCs w:val="24"/>
        </w:rPr>
        <w:t>ТЭ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а Ответчик, соответственно, обязан оплатить полученные ресурсы на основании указанных Договоров и установленных тарифов для соответствующих групп потребителей.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1136" w:leader="none"/>
        </w:tabs>
        <w:spacing w:lineRule="auto" w:line="271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За Ответчиком по названным Договорам образовалась задолженность </w:t>
        <w:br/>
        <w:t xml:space="preserve">за потребленные ресурсы (тепловую энергию и/или теплоноситель) в сумме </w:t>
      </w:r>
      <w:r>
        <w:rPr>
          <w:rFonts w:eastAsia="Times New Roman" w:cs="Times New Roman" w:ascii="Times New Roman" w:hAnsi="Times New Roman"/>
          <w:b/>
        </w:rPr>
        <w:t xml:space="preserve">3 004 941,80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рублей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за указанный выше Период.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1136" w:leader="none"/>
        </w:tabs>
        <w:spacing w:lineRule="auto" w:line="240" w:before="0" w:after="0"/>
        <w:ind w:firstLine="709" w:left="0" w:right="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Договорами: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40" w:before="0" w:after="0"/>
        <w:ind w:hanging="360" w:left="720" w:right="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раздел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 4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в том числе пункт </w:t>
      </w:r>
      <w:r>
        <w:rPr>
          <w:rFonts w:eastAsia="Times New Roman" w:cs="Times New Roman" w:ascii="Times New Roman" w:hAnsi="Times New Roman"/>
          <w:shd w:fill="auto" w:val="clear"/>
        </w:rPr>
        <w:t>4.5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договора №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>№ 04.303360-ТЭ от 01.01.2012</w:t>
      </w:r>
    </w:p>
    <w:p>
      <w:pPr>
        <w:keepNext w:val="0"/>
        <w:keepLines w:val="0"/>
        <w:widowControl/>
        <w:numPr>
          <w:ilvl w:val="0"/>
          <w:numId w:val="5"/>
        </w:numPr>
        <w:spacing w:before="0" w:after="0" w:line="240" w:lineRule="auto"/>
        <w:ind w:left="720" w:right="0" w:hanging="360"/>
        <w:jc w:val="both"/>
      </w:pP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u w:val="none"/>
        </w:rPr>
        <w:t>раздел</w:t>
      </w:r>
      <w:r>
        <w:rPr>
          <w:rFonts w:ascii="Times New Roman" w:hAnsi="Times New Roman"/>
          <w:sz w:val="24"/>
        </w:rPr>
        <w:t xml:space="preserve"> 4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u w:val="none"/>
        </w:rPr>
        <w:t xml:space="preserve">, в том числе пункт </w:t>
      </w:r>
      <w:r>
        <w:rPr>
          <w:rFonts w:ascii="Times New Roman" w:hAnsi="Times New Roman"/>
        </w:rPr>
        <w:t>4.6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u w:val="none"/>
        </w:rPr>
        <w:t xml:space="preserve"> договора № </w:t>
      </w:r>
      <w:r>
        <w:rPr>
          <w:rFonts w:ascii="Times New Roman" w:hAnsi="Times New Roman"/>
          <w:sz w:val="24"/>
        </w:rPr>
        <w:t>№ 04.303360ГВС от 01.01.2012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1136" w:leader="none"/>
        </w:tabs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Факт поставки тепловой энергии/теплоносителя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Таким образом, Истец свои обязательства по Договорам исполнил надлежащим образом и в полном объеме, поставив Ответчику тепловую энергию/теплоноситель </w:t>
        <w:br/>
        <w:t xml:space="preserve">в соответствии с принятыми на себя обязательствами в отношении количества, качества </w:t>
        <w:br/>
        <w:t>и сроков их поставки. Ответчик оплату в полном размере не произвел.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120" w:after="120"/>
        <w:ind w:hanging="357" w:left="1066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Соблюдение претензионного порядка.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0"/>
        <w:ind w:firstLine="709" w:left="0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Поскольку Ответчик свои обязательства по оплате поставленной ТЭ исполнил ненадлежащим образом, Истцом направлены в его адрес 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претензии: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57" w:left="992" w:right="0"/>
        <w:jc w:val="both"/>
        <w:rPr>
          <w:highlight w:val="none"/>
          <w:shd w:fill="auto" w:val="clear"/>
        </w:rPr>
      </w:pPr>
      <w:bookmarkStart w:id="2" w:name="_heading=h.ra5tosunmtw0"/>
      <w:bookmarkEnd w:id="2"/>
      <w:r>
        <w:rPr>
          <w:rFonts w:eastAsia="Times New Roman" w:cs="Times New Roman" w:ascii="Times New Roman" w:hAnsi="Times New Roman"/>
          <w:b/>
          <w:sz w:val="24"/>
          <w:szCs w:val="24"/>
          <w:shd w:fill="auto" w:val="clear"/>
        </w:rPr>
        <w:t>№ 553106 от 28.04.2025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;</w:t>
      </w:r>
    </w:p>
    <w:p>
      <w:pPr>
        <w:keepNext w:val="0"/>
        <w:keepLines w:val="0"/>
        <w:widowControl/>
        <w:numPr>
          <w:ilvl w:val="0"/>
          <w:numId w:val="1"/>
        </w:numPr>
        <w:spacing w:before="0" w:after="0" w:line="240" w:lineRule="auto"/>
        <w:ind w:left="992" w:right="0" w:hanging="357"/>
        <w:jc w:val="both"/>
      </w:pPr>
      <w:r>
        <w:rPr>
          <w:rFonts w:ascii="Times New Roman" w:hAnsi="Times New Roman"/>
          <w:b/>
          <w:sz w:val="24"/>
        </w:rPr>
        <w:t>№ 111111 от 11.11.1111</w:t>
      </w:r>
      <w:r>
        <w:rPr>
          <w:rFonts w:ascii="Times New Roman" w:hAnsi="Times New Roman"/>
          <w:b/>
          <w:i w:val="0"/>
          <w:caps w:val="0"/>
          <w:smallCaps w:val="0"/>
          <w:strike w:val="0"/>
          <w:color w:val="000000"/>
          <w:sz w:val="24"/>
          <w:u w:val="none"/>
        </w:rPr>
        <w:t>;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hanging="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с предложением погасить образовавшуюся задолженность за ТЭ, которые оставлены Ответчиком без ответа. Задолженность в полном объеме не погашена. Копии претензий, </w:t>
        <w:br/>
        <w:t>а также документация в отношении направления/получения их Ответчиком, соблюдения претензионного порядка прилагаются к настоящему иску.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120" w:after="120"/>
        <w:ind w:hanging="357" w:left="1066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Неустойка.</w:t>
      </w:r>
    </w:p>
    <w:p>
      <w:pPr>
        <w:pStyle w:val="normal1"/>
        <w:spacing w:lineRule="auto" w:line="240" w:before="0"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В соответствии с частью 9.3 статьи 15 Федерального закона от 27.07.2010 </w:t>
        <w:br/>
        <w:t xml:space="preserve">№ 190-ФЗ «О теплоснабжении» управляющие организации, приобретающие тепловую энергию (мощность) и (или) теплоноситель для целей предоставления коммунальных услуг, организации, осуществляющие горячее водоснабжение, холодное водоснабжение и (или) водоотведение по договорам горячего водоснабжения и договорам поставки горячей воды, а также теплоснабжающие организации, приобретающие тепловую энергию (мощность) </w:t>
        <w:br/>
        <w:t xml:space="preserve">и (или) теплоноситель по договору поставки тепловой энергии (мощности) и (или) теплоносителя,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дня, следующего за днем наступления установленного срока оплаты, по день фактической оплаты, произведенной в течение шестидесяти календарных дней со дня наступления установленного срока оплаты, либо до истечения шестидесяти календарных дней после дня наступления установленного срока оплаты, если в шестидесятидневный срок оплата не произведена. Начиная с шестьдесят первого дня, следующего за днем наступления установленного срока оплаты, по день фактической оплаты, произведенной </w:t>
        <w:br/>
        <w:t xml:space="preserve">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произведена, пени уплачиваются </w:t>
        <w:br/>
        <w:t xml:space="preserve">в размере одной стосемидесятой ставки рефинансирования Центрального банка Российской Федерации, действующей на день фактической оплаты, от не выплаченной </w:t>
        <w:br/>
        <w:t xml:space="preserve">в срок суммы за каждый день просрочки. Начиная с девяносто первого дня, следующего </w:t>
        <w:br/>
        <w:t xml:space="preserve">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</w:t>
        <w:br/>
        <w:t>от не выплаченной в срок суммы за каждый день просрочки.</w:t>
      </w:r>
    </w:p>
    <w:p>
      <w:pPr>
        <w:pStyle w:val="normal1"/>
        <w:spacing w:lineRule="auto" w:line="240" w:before="0" w:after="12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Пунктом 1 Постановления Правительства РФ от 26 марта 2022 г. № 474</w:t>
        <w:br/>
        <w:t xml:space="preserve">«О некоторых особенностях регулирования жилищных отношений в 2022 - 2024 годах» </w:t>
        <w:br/>
        <w:t xml:space="preserve">(в ред. пп. «б» п. 1 Постановления Правительства РФ от 29 декабря 2023 г. № 2382 </w:t>
        <w:br/>
        <w:t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</w:t>
        <w:br/>
        <w:t xml:space="preserve">«О некоторых особенностях регулирования жилищных отношений в 2025 - 2026 годах» установлено, что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начисление </w:t>
        <w:br/>
        <w:t xml:space="preserve">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eastAsia="Times New Roman" w:cs="Times New Roman" w:ascii="Times New Roman" w:hAnsi="Times New Roman"/>
          <w:sz w:val="24"/>
          <w:szCs w:val="24"/>
        </w:rPr>
        <w:t>и индивидуальными предпринимателями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обязательство </w:t>
        <w:br/>
        <w:t xml:space="preserve">по оплате услуг, предоставляемых на основании договоров в соответствии </w:t>
        <w:br/>
        <w:t>с законодательством Российской Федерации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 газоснабжении, об электроэнергетике, </w:t>
        <w:br/>
      </w:r>
      <w:r>
        <w:rPr>
          <w:rFonts w:eastAsia="Times New Roman" w:cs="Times New Roman" w:ascii="Times New Roman" w:hAnsi="Times New Roman"/>
          <w:b/>
          <w:sz w:val="24"/>
          <w:szCs w:val="24"/>
        </w:rPr>
        <w:t>о теплоснабжении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о водоснабжении и водоотведении,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осуществляются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ключевая ставка Центрального банка Российской Федерации, действующая </w:t>
        <w:br/>
        <w:t>по состоянию на 27 февраля 2022 г., и ключевая ставка Банка России, действующая на день фактической оплаты.</w:t>
      </w:r>
    </w:p>
    <w:p>
      <w:pPr>
        <w:pStyle w:val="normal1"/>
        <w:spacing w:lineRule="auto" w:line="240" w:before="120" w:after="12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Исходя из размера Основного долга и Периода задолженности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неустойка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  <w:br/>
        <w:t>по Договорам составляет:</w:t>
      </w:r>
    </w:p>
    <w:tbl>
      <w:tblPr>
        <w:tblStyle w:val="Table3"/>
        <w:tblW w:w="93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110"/>
        <w:gridCol w:w="1847"/>
        <w:gridCol w:w="1698"/>
        <w:gridCol w:w="1420"/>
        <w:gridCol w:w="2249"/>
      </w:tblGrid>
      <w:tr>
        <w:trPr>
          <w:trHeight w:val="846" w:hRule="atLeast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Неустойка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Итого по договору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>
        <w:trPr>
          <w:trHeight w:val="680" w:hRule="atLeast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shd w:fill="auto" w:val="clear"/>
              </w:rPr>
              <w:t>№ 04.303360-ТЭ от 01.01.2012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12.2024-04.2025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2 387 185,10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98 538,40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2 485 723,50</w:t>
            </w:r>
          </w:p>
        </w:tc>
      </w:tr>
      <w:tr>
        <w:trPr>
          <w:trHeight w:val="680" w:hRule="atLeast"/>
        </w:trPr>
        <w:tc>
          <w:tcPr>
            <w:tcW w:type="dxa" w:w="211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</w:rPr>
              <w:t>№ 04.303360ГВС от 01.01.2012</w:t>
            </w:r>
          </w:p>
        </w:tc>
        <w:tc>
          <w:tcPr>
            <w:tcW w:type="dxa" w:w="18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</w:rPr>
              <w:t>01.2025-02.2025</w:t>
            </w:r>
          </w:p>
        </w:tc>
        <w:tc>
          <w:tcPr>
            <w:tcW w:type="dxa" w:w="169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</w:rPr>
              <w:t>617 756,70</w:t>
            </w:r>
          </w:p>
        </w:tc>
        <w:tc>
          <w:tcPr>
            <w:tcW w:type="dxa" w:w="14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</w:rPr>
              <w:t>35 139,34</w:t>
            </w:r>
          </w:p>
        </w:tc>
        <w:tc>
          <w:tcPr>
            <w:tcW w:type="dxa" w:w="224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</w:rPr>
              <w:t>652 896,04</w:t>
            </w:r>
          </w:p>
        </w:tc>
      </w:tr>
      <w:tr>
        <w:trPr>
          <w:trHeight w:val="411" w:hRule="atLeast"/>
        </w:trPr>
        <w:tc>
          <w:tcPr>
            <w:tcW w:w="3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ИТОГО: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3 004 941,80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133 677,74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3 138 619,54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firstLine="709" w:left="0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Расчет суммы неустойки прилагается к настоящему исковому заявлению.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bookmarkStart w:id="3" w:name="_heading=h.k52ivkynkc9v"/>
      <w:bookmarkEnd w:id="3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Таким образом, общая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цена иска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составляет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546 167,56 руб.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рублей.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bookmarkStart w:id="4" w:name="_heading=h.iyq143tfb8u6"/>
      <w:bookmarkEnd w:id="4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Размер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государственной пошлины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составляет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32 308,00 руб.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рублей.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На основании вышеизложенного, в соответствии со статьями 309, 310, 395, 539, 541, 544 Гражданского кодекса РФ, ст. 15 Федерального закона от 27.07.2010 № 190-ФЗ </w:t>
        <w:br/>
        <w:t>«О теплоснабжении», статьями 4, 125 Арбитражного процессуального кодекса Российской Федерации,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40" w:after="240"/>
        <w:ind w:firstLine="567" w:left="0" w:right="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ПРОСИМ СУД: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Взыскать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ООО «ОТВЕТЧИК»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(ОГРН </w:t>
      </w:r>
      <w:r>
        <w:rPr>
          <w:rFonts w:eastAsia="Times New Roman" w:cs="Times New Roman" w:ascii="Times New Roman" w:hAnsi="Times New Roman"/>
          <w:sz w:val="24"/>
          <w:szCs w:val="24"/>
        </w:rPr>
        <w:t>Ответчик ОГРН 2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ИНН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Ответчик ИНН 2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) в пользу Публичного акционерного общества «Московская объединенная энергетическая компания» (ОГРН Истец ОГРН 1, </w:t>
        <w:br/>
        <w:t>ИНН Истец ИНН 1) задолженность (основной долг) и неустойку по Договорам в общем размере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546 167,56 руб.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рублей, в том числе: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426" w:left="993" w:right="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 Договору № № 04.303360-ТЭ от 01.01.2012: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993" w:right="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shd w:fill="auto" w:val="clear"/>
        </w:rPr>
        <w:t>2 387 185,10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руб. – основной долг за период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>12.2024-04.2025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;</w:t>
      </w:r>
    </w:p>
    <w:p>
      <w:pPr>
        <w:pStyle w:val="NoSpacing"/>
        <w:ind w:left="993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eastAsia="ru-RU"/>
        </w:rPr>
        <w:t>787 679,60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eastAsia="ru-RU"/>
        </w:rPr>
        <w:t xml:space="preserve"> руб. – доля годовой корректировки за 2024 год за период 01.2025 - 04.2025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;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993" w:right="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shd w:fill="auto" w:val="clear"/>
        </w:rPr>
        <w:t>98 538,40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руб. – неустойку за период с 21.01.2025 по 25.07.2025;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hanging="0" w:left="992" w:right="0"/>
        <w:jc w:val="both"/>
        <w:rPr>
          <w:highlight w:val="none"/>
          <w:shd w:fill="auto" w:val="clear"/>
        </w:rPr>
      </w:pPr>
      <w:bookmarkStart w:id="5" w:name="_heading=h.5z6qu5hcxdqu"/>
      <w:bookmarkEnd w:id="5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неустойку по день фактического исполнения обязательства, начиная с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26.07.2025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года, рассчитанную исходя из 1/130 ставки рефинансирования Банка России;</w:t>
      </w:r>
    </w:p>
    <w:p>
      <w:pPr>
        <w:keepNext w:val="0"/>
        <w:keepLines w:val="0"/>
        <w:widowControl/>
        <w:numPr>
          <w:ilvl w:val="0"/>
          <w:numId w:val="3"/>
        </w:numPr>
        <w:spacing w:before="0" w:after="0" w:line="240" w:lineRule="auto"/>
        <w:ind w:left="993" w:right="0" w:hanging="426"/>
        <w:jc w:val="both"/>
      </w:pPr>
      <w:r>
        <w:rPr>
          <w:rFonts w:ascii="Times New Roman" w:hAnsi="Times New Roman"/>
          <w:b/>
          <w:i w:val="0"/>
          <w:caps w:val="0"/>
          <w:smallCaps w:val="0"/>
          <w:strike w:val="0"/>
          <w:color w:val="000000"/>
          <w:sz w:val="24"/>
          <w:u w:val="none"/>
        </w:rPr>
        <w:t>по Договору № № 04.303360ГВС от 01.01.2012:</w:t>
      </w:r>
    </w:p>
    <w:p>
      <w:pPr>
        <w:keepNext w:val="0"/>
        <w:keepLines w:val="0"/>
        <w:widowControl/>
        <w:spacing w:before="0" w:after="0" w:line="240" w:lineRule="auto"/>
        <w:ind w:left="993" w:right="0" w:firstLine="0"/>
        <w:jc w:val="both"/>
      </w:pPr>
      <w:r>
        <w:rPr>
          <w:rFonts w:ascii="Times New Roman" w:hAnsi="Times New Roman"/>
          <w:b/>
          <w:sz w:val="24"/>
        </w:rPr>
        <w:t>617 756,70</w:t>
      </w:r>
      <w:r>
        <w:rPr>
          <w:rFonts w:ascii="Times New Roman" w:hAnsi="Times New Roman"/>
          <w:b/>
          <w:i w:val="0"/>
          <w:caps w:val="0"/>
          <w:smallCaps w:val="0"/>
          <w:strike w:val="0"/>
          <w:color w:val="00000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u w:val="none"/>
        </w:rPr>
        <w:t xml:space="preserve">руб. – основной долг за период </w:t>
      </w:r>
      <w:r>
        <w:rPr>
          <w:rFonts w:ascii="Times New Roman" w:hAnsi="Times New Roman"/>
          <w:sz w:val="24"/>
        </w:rPr>
        <w:t>01.2025-02.2025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u w:val="none"/>
        </w:rPr>
        <w:t>;</w:t>
      </w:r>
    </w:p>
    <w:p>
      <w:pPr>
        <w:keepNext w:val="0"/>
        <w:keepLines w:val="0"/>
        <w:widowControl/>
        <w:spacing w:before="0" w:after="0" w:line="240" w:lineRule="auto"/>
        <w:ind w:left="993" w:right="0" w:firstLine="0"/>
        <w:jc w:val="both"/>
      </w:pPr>
      <w:r>
        <w:rPr>
          <w:rFonts w:ascii="Times New Roman" w:hAnsi="Times New Roman"/>
          <w:b/>
          <w:sz w:val="24"/>
        </w:rPr>
        <w:t>35 139,34</w:t>
      </w:r>
      <w:r>
        <w:rPr>
          <w:rFonts w:ascii="Times New Roman" w:hAnsi="Times New Roman"/>
          <w:b/>
          <w:i w:val="0"/>
          <w:caps w:val="0"/>
          <w:smallCaps w:val="0"/>
          <w:strike w:val="0"/>
          <w:color w:val="00000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u w:val="none"/>
        </w:rPr>
        <w:t>руб. – неустойку за период с 21.02.2025 по 25.07.2025;</w:t>
      </w:r>
    </w:p>
    <w:p>
      <w:pPr>
        <w:keepNext w:val="0"/>
        <w:keepLines w:val="0"/>
        <w:widowControl/>
        <w:spacing w:before="0" w:after="120" w:line="240" w:lineRule="auto"/>
        <w:ind w:left="992" w:right="0" w:firstLine="0"/>
        <w:jc w:val="both"/>
      </w:pP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u w:val="none"/>
        </w:rPr>
        <w:t xml:space="preserve">неустойку по день фактического исполнения обязательства, начиная с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u w:val="none"/>
        </w:rPr>
        <w:t xml:space="preserve"> 26.07.2025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z w:val="24"/>
          <w:u w:val="none"/>
        </w:rPr>
        <w:t xml:space="preserve"> года, рассчитанную исходя из 1/130 ставки рефинансирования Банка России;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Взыскать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 </w:t>
      </w:r>
      <w:r>
        <w:rPr>
          <w:rFonts w:eastAsia="Times New Roman" w:cs="Times New Roman" w:ascii="Times New Roman" w:hAnsi="Times New Roman"/>
          <w:sz w:val="24"/>
          <w:szCs w:val="24"/>
        </w:rPr>
        <w:t>ОБЩЕСТВО С ОГРАНИЧЕННОЙ ОТВЕТСТВЕННОСТЬЮ «ОТВЕТЧИК»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(ОГРН </w:t>
      </w:r>
      <w:r>
        <w:rPr>
          <w:rFonts w:eastAsia="Times New Roman" w:cs="Times New Roman" w:ascii="Times New Roman" w:hAnsi="Times New Roman"/>
          <w:sz w:val="24"/>
          <w:szCs w:val="24"/>
        </w:rPr>
        <w:t>Ответчик ОГРН 2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ИНН </w:t>
      </w:r>
      <w:r>
        <w:rPr>
          <w:rFonts w:eastAsia="Times New Roman" w:cs="Times New Roman" w:ascii="Times New Roman" w:hAnsi="Times New Roman"/>
          <w:sz w:val="24"/>
          <w:szCs w:val="24"/>
        </w:rPr>
        <w:t>Ответчик ИНН 2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) в пользу Публичного акционерного общества «Московская объединенная энергетическая компания»  (ОГРН Истец ОГРН 1, </w:t>
        <w:br/>
        <w:t xml:space="preserve">ИНН Истец ИНН 1) расходы по оплате государственной пошлины  за подачу настоящего иска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32 308,00 руб.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рублей.</w:t>
      </w:r>
    </w:p>
    <w:p>
      <w:pPr>
        <w:pStyle w:val="normal1"/>
        <w:tabs>
          <w:tab w:val="clear" w:pos="720"/>
          <w:tab w:val="left" w:pos="851" w:leader="none"/>
          <w:tab w:val="left" w:pos="11057" w:leader="none"/>
        </w:tabs>
        <w:spacing w:lineRule="auto" w:line="240" w:before="0" w:after="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tabs>
          <w:tab w:val="clear" w:pos="720"/>
          <w:tab w:val="left" w:pos="851" w:leader="none"/>
          <w:tab w:val="left" w:pos="11057" w:leader="none"/>
        </w:tabs>
        <w:spacing w:lineRule="auto" w:line="240" w:before="0" w:after="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tabs>
          <w:tab w:val="clear" w:pos="720"/>
          <w:tab w:val="left" w:pos="851" w:leader="none"/>
          <w:tab w:val="left" w:pos="11057" w:leader="none"/>
        </w:tabs>
        <w:spacing w:lineRule="auto" w:line="240" w:before="0" w:after="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Приложения: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shd w:val="clear" w:fill="auto"/>
        <w:spacing w:lineRule="auto" w:line="240" w:before="0" w:after="0"/>
        <w:ind w:hanging="425" w:left="567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4"/>
        <w:tblW w:w="9349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678"/>
        <w:gridCol w:w="2545"/>
        <w:gridCol w:w="2126"/>
      </w:tblGrid>
      <w:tr>
        <w:trPr/>
        <w:tc>
          <w:tcPr>
            <w:tcW w:w="4678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Представитель ПАО «МОЭК»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по доверенности</w:t>
            </w:r>
          </w:p>
        </w:tc>
        <w:tc>
          <w:tcPr>
            <w:tcW w:w="2545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</w:rPr>
            </w:r>
          </w:p>
        </w:tc>
        <w:tc>
          <w:tcPr>
            <w:tcW w:w="2126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righ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righ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Самошкина А.Е.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1" w:gutter="0" w:header="0" w:top="851" w:footer="306" w:bottom="851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b/>
        <w:rFonts w:ascii="Times New Roman" w:hAnsi="Times New Roman" w:eastAsia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5">
    <w:lvl w:ilvl="0">
      <w:start w:val="1"/>
      <w:numFmt w:val="bullet"/>
      <w:lvlText w:val="⎯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Основной текст (2)_"/>
    <w:link w:val="21"/>
    <w:uiPriority w:val="99"/>
    <w:qFormat/>
    <w:locked/>
    <w:rsid w:val="00940e25"/>
    <w:rPr>
      <w:shd w:fill="FFFFFF" w:val="clear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a9586a"/>
    <w:rPr>
      <w:rFonts w:ascii="Calibri" w:hAnsi="Calibri" w:eastAsia="Times New Roman" w:cs="Calibri"/>
    </w:rPr>
  </w:style>
  <w:style w:type="character" w:styleId="Style9" w:customStyle="1">
    <w:name w:val="Нижний колонтитул Знак"/>
    <w:basedOn w:val="DefaultParagraphFont"/>
    <w:uiPriority w:val="99"/>
    <w:qFormat/>
    <w:rsid w:val="00a9586a"/>
    <w:rPr>
      <w:rFonts w:ascii="Calibri" w:hAnsi="Calibri" w:eastAsia="Times New Roman" w:cs="Calibri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e541cd"/>
    <w:rPr>
      <w:rFonts w:ascii="Segoe UI" w:hAnsi="Segoe UI" w:eastAsia="Times New Roman" w:cs="Segoe UI"/>
      <w:sz w:val="18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82234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282234"/>
    <w:rPr>
      <w:rFonts w:ascii="Calibri" w:hAnsi="Calibri" w:eastAsia="Times New Roman" w:cs="Calibri"/>
      <w:sz w:val="20"/>
      <w:szCs w:val="20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282234"/>
    <w:rPr>
      <w:rFonts w:ascii="Calibri" w:hAnsi="Calibri" w:eastAsia="Times New Roman" w:cs="Calibri"/>
      <w:b/>
      <w:bCs/>
      <w:sz w:val="20"/>
      <w:szCs w:val="20"/>
    </w:rPr>
  </w:style>
  <w:style w:type="character" w:styleId="layout" w:customStyle="1">
    <w:name w:val="layout"/>
    <w:basedOn w:val="DefaultParagraphFont"/>
    <w:qFormat/>
    <w:rsid w:val="00094b05"/>
    <w:rPr/>
  </w:style>
  <w:style w:type="character" w:styleId="LineNumber">
    <w:name w:val="Line Number"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NoSpacing">
    <w:name w:val="No Spacing"/>
    <w:uiPriority w:val="99"/>
    <w:qFormat/>
    <w:rsid w:val="00940e25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Times New Roman" w:cs="Calibri"/>
      <w:color w:val="auto"/>
      <w:kern w:val="0"/>
      <w:sz w:val="22"/>
      <w:szCs w:val="22"/>
      <w:lang w:val="ru-RU" w:eastAsia="zh-CN" w:bidi="hi-IN"/>
    </w:rPr>
  </w:style>
  <w:style w:type="paragraph" w:styleId="21" w:customStyle="1">
    <w:name w:val="Основной текст (2)"/>
    <w:link w:val="2"/>
    <w:uiPriority w:val="99"/>
    <w:qFormat/>
    <w:rsid w:val="00940e25"/>
    <w:pPr>
      <w:widowControl w:val="false"/>
      <w:shd w:val="clear" w:color="auto" w:fill="FFFFFF"/>
      <w:suppressAutoHyphens w:val="true"/>
      <w:bidi w:val="0"/>
      <w:spacing w:lineRule="exact" w:line="264" w:before="240" w:after="0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zh-CN" w:bidi="hi-IN"/>
    </w:rPr>
  </w:style>
  <w:style w:type="paragraph" w:styleId="1" w:customStyle="1">
    <w:name w:val="Стиль1"/>
    <w:uiPriority w:val="99"/>
    <w:qFormat/>
    <w:rsid w:val="004e1112"/>
    <w:pPr>
      <w:widowControl/>
      <w:numPr>
        <w:ilvl w:val="0"/>
        <w:numId w:val="1"/>
      </w:numPr>
      <w:suppressAutoHyphens w:val="true"/>
      <w:bidi w:val="0"/>
      <w:spacing w:lineRule="auto" w:line="240" w:before="0" w:after="0"/>
      <w:jc w:val="both"/>
    </w:pPr>
    <w:rPr>
      <w:rFonts w:ascii="Calibri" w:hAnsi="Calibri" w:eastAsia="Calibri" w:cs="Times New Roman"/>
      <w:color w:val="auto"/>
      <w:kern w:val="0"/>
      <w:sz w:val="28"/>
      <w:szCs w:val="28"/>
      <w:lang w:val="ru-RU" w:eastAsia="ru-RU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link w:val="Style8"/>
    <w:uiPriority w:val="99"/>
    <w:unhideWhenUsed/>
    <w:rsid w:val="00a9586a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HeaderandFooter"/>
    <w:link w:val="Style9"/>
    <w:uiPriority w:val="99"/>
    <w:unhideWhenUsed/>
    <w:rsid w:val="00a9586a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uiPriority w:val="34"/>
    <w:qFormat/>
    <w:rsid w:val="00380526"/>
    <w:pPr>
      <w:widowControl/>
      <w:suppressAutoHyphens w:val="true"/>
      <w:bidi w:val="0"/>
      <w:spacing w:lineRule="auto" w:line="276" w:before="0" w:after="200"/>
      <w:ind w:left="72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BalloonText">
    <w:name w:val="Balloon Text"/>
    <w:link w:val="Style10"/>
    <w:uiPriority w:val="99"/>
    <w:semiHidden/>
    <w:unhideWhenUsed/>
    <w:qFormat/>
    <w:rsid w:val="00e541cd"/>
    <w:pPr>
      <w:widowControl/>
      <w:suppressAutoHyphens w:val="true"/>
      <w:bidi w:val="0"/>
      <w:spacing w:lineRule="auto" w:line="240" w:before="0" w:after="0"/>
      <w:jc w:val="left"/>
    </w:pPr>
    <w:rPr>
      <w:rFonts w:ascii="Segoe UI" w:hAnsi="Segoe UI" w:eastAsia="Calibri" w:cs="Segoe UI"/>
      <w:color w:val="auto"/>
      <w:kern w:val="0"/>
      <w:sz w:val="18"/>
      <w:szCs w:val="18"/>
      <w:lang w:val="ru-RU" w:eastAsia="zh-CN" w:bidi="hi-IN"/>
    </w:rPr>
  </w:style>
  <w:style w:type="paragraph" w:styleId="AnnotationText">
    <w:name w:val="Annotation Text"/>
    <w:basedOn w:val="BodyText"/>
    <w:link w:val="Style11"/>
    <w:uiPriority w:val="99"/>
    <w:semiHidden/>
    <w:unhideWhenUsed/>
    <w:rsid w:val="002822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2"/>
    <w:uiPriority w:val="99"/>
    <w:semiHidden/>
    <w:unhideWhenUsed/>
    <w:qFormat/>
    <w:rsid w:val="00282234"/>
    <w:pPr/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TableNormal">
    <w:name w:val="Table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rsid w:val="004e111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LibreOffice/24.2.7.2$Linux_X86_64 LibreOffice_project/420$Build-2</Application>
  <AppVersion>15.0000</AppVersion>
  <Pages>4</Pages>
  <Words>1271</Words>
  <Characters>8843</Characters>
  <CharactersWithSpaces>10066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2024-06-25T08:20:00Z</dcterms:created>
  <dc:creator/>
  <dc:description/>
  <dc:language>ru-RU</dc:language>
  <cp:lastModifiedBy/>
  <dcterms:modified xsi:type="dcterms:W3CDTF">2025-08-31T14:07:17Z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