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935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4033"/>
        <w:gridCol w:w="5320"/>
      </w:tblGrid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В</w:t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Арбитражный суд города Москвы</w:t>
            </w:r>
          </w:p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115225, г. Москва, ул. Большая Тульская, д. 17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Истец: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eastAsia="ru-RU"/>
              </w:rPr>
              <w:t>/*истец полное имя*/</w:t>
            </w:r>
          </w:p>
          <w:p>
            <w:pPr>
              <w:pStyle w:val="Normal"/>
              <w:spacing w:lineRule="auto" w:line="240" w:before="0" w:after="0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eastAsia="ru-RU"/>
              </w:rPr>
              <w:t>(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shd w:fill="FFFFFF" w:val="clear"/>
              </w:rPr>
              <w:t>ОГРН /*истец огрн*/,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eastAsia="ru-RU"/>
              </w:rPr>
              <w:t xml:space="preserve"> ИНН /*истец инн*/)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ru-RU"/>
              </w:rPr>
              <w:t>/*истец адрес*/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  <w:u w:val="single"/>
              </w:rPr>
              <w:t>Адрес для направления корреспонденции: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121596, г. Москва, ул. Горбунова, д. 2, стр. 3, </w:t>
              <w:br/>
              <w:t>офис В613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Ответчик: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  <w:lang w:eastAsia="ru-RU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  <w:lang w:eastAsia="ru-RU"/>
              </w:rPr>
              <w:t xml:space="preserve">/*ответчик полное имя*/ </w:t>
            </w:r>
            <w:bookmarkStart w:id="0" w:name="_Hlk114824218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br/>
              <w:t>(</w:t>
            </w:r>
            <w:bookmarkStart w:id="1" w:name="_Hlk114824262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ОГРН /*ответчик огрн*/, ИНН </w:t>
            </w:r>
            <w:bookmarkEnd w:id="1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/*ответчик инн*/)</w:t>
            </w:r>
            <w:bookmarkEnd w:id="0"/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/*ответчик адрес*/</w:t>
            </w:r>
          </w:p>
        </w:tc>
      </w:tr>
    </w:tbl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ind w:firstLine="4111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Цена иска: /*цена иска*/ рублей.</w:t>
      </w:r>
    </w:p>
    <w:p>
      <w:pPr>
        <w:pStyle w:val="normal1"/>
        <w:spacing w:lineRule="auto" w:line="240" w:before="0" w:after="0"/>
        <w:ind w:firstLine="4111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Госпошлина: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/*госпошлина*/ рублей.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ИСКОВОЕ ЗАЯВЛЕНИЕ</w:t>
      </w:r>
    </w:p>
    <w:p>
      <w:pPr>
        <w:pStyle w:val="normal1"/>
        <w:spacing w:lineRule="auto" w:line="240" w:before="0" w:after="12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о взыскании задолженности за /*поставляемые ресурсы5*/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Основной долг. </w:t>
      </w:r>
    </w:p>
    <w:p>
      <w:pPr>
        <w:pStyle w:val="normal1"/>
        <w:spacing w:lineRule="auto" w:line="240" w:before="0" w:after="120"/>
        <w:ind w:firstLine="709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Между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/*истец полное имя*/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(далее – </w:t>
        <w:br/>
        <w:t xml:space="preserve">/*истец сокращенное имя*/, Истец) и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/*ответчик сокращенное имя*/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(далее – Ответчик) /*мн.ч.7*/ является подача (поставка) Истцом Ответчику /*поставляемые ресурсы*/:</w:t>
      </w:r>
    </w:p>
    <w:tbl>
      <w:tblPr>
        <w:tblStyle w:val="Table2"/>
        <w:tblW w:w="930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962"/>
        <w:gridCol w:w="1843"/>
        <w:gridCol w:w="2395"/>
        <w:gridCol w:w="1840"/>
        <w:gridCol w:w="1268"/>
      </w:tblGrid>
      <w:tr>
        <w:trPr>
          <w:trHeight w:val="657" w:hRule="atLeast"/>
          <w:cantSplit w:val="true"/>
        </w:trPr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Реквизиты (номер) договора</w:t>
            </w:r>
          </w:p>
        </w:tc>
        <w:tc>
          <w:tcPr>
            <w:tcW w:w="184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Период</w:t>
            </w:r>
          </w:p>
        </w:tc>
        <w:tc>
          <w:tcPr>
            <w:tcW w:w="23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Задолженность (основной долг), руб.</w:t>
            </w:r>
          </w:p>
        </w:tc>
        <w:tc>
          <w:tcPr>
            <w:tcW w:w="184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Срок оплаты</w:t>
            </w:r>
          </w:p>
        </w:tc>
        <w:tc>
          <w:tcPr>
            <w:tcW w:w="126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Пункт договора</w:t>
            </w:r>
          </w:p>
        </w:tc>
      </w:tr>
      <w:tr>
        <w:trPr>
          <w:trHeight w:val="418" w:hRule="atLeast"/>
          <w:cantSplit w:val="true"/>
        </w:trPr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/>
                <w:shd w:fill="auto" w:val="clear"/>
              </w:rPr>
              <w:t>/*номер договора*/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/*период*/</w:t>
            </w:r>
          </w:p>
        </w:tc>
        <w:tc>
          <w:tcPr>
            <w:tcW w:w="23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/*задолженность*/</w:t>
            </w:r>
          </w:p>
        </w:tc>
        <w:tc>
          <w:tcPr>
            <w:tcW w:w="1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/*срок оплаты*/</w:t>
            </w:r>
          </w:p>
        </w:tc>
        <w:tc>
          <w:tcPr>
            <w:tcW w:w="1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720" w:right="0"/>
              <w:jc w:val="both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shd w:fill="auto" w:val="clear"/>
                <w:vertAlign w:val="baseline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shd w:fill="auto" w:val="clear"/>
                <w:vertAlign w:val="baseline"/>
              </w:rPr>
              <w:t>/*пункт*/</w:t>
            </w:r>
          </w:p>
        </w:tc>
      </w:tr>
      <w:tr>
        <w:trPr>
          <w:trHeight w:val="276" w:hRule="atLeast"/>
          <w:cantSplit w:val="true"/>
        </w:trPr>
        <w:tc>
          <w:tcPr>
            <w:tcW w:w="3805" w:type="dxa"/>
            <w:gridSpan w:val="2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Сумма:</w:t>
            </w:r>
          </w:p>
        </w:tc>
        <w:tc>
          <w:tcPr>
            <w:tcW w:w="2395" w:type="dxa"/>
            <w:tcBorders>
              <w:top w:val="single" w:sz="6" w:space="0" w:color="000000"/>
              <w:bottom w:val="single" w:sz="4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/*сумма долга*/</w:t>
            </w:r>
          </w:p>
        </w:tc>
        <w:tc>
          <w:tcPr>
            <w:tcW w:w="3108" w:type="dxa"/>
            <w:gridSpan w:val="2"/>
            <w:tcBorders>
              <w:top w:val="single" w:sz="6" w:space="0" w:color="000000"/>
              <w:bottom w:val="single" w:sz="4" w:space="0" w:color="000000"/>
              <w:right w:val="single" w:sz="6" w:space="0" w:color="000000"/>
            </w:tcBorders>
            <w:shd w:fill="FFFFFF" w:val="clea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Поставка (подача) ресурсов производилась на условиях, определенных /*мн.ч.*/, за плату согласно действующим тарифам.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/*истец сокращенное имя*/ свои обязательства по /*мн.ч.2*/ исполнило в полном объеме, поставив ресурсы (</w:t>
      </w:r>
      <w:r>
        <w:rPr>
          <w:rFonts w:eastAsia="Times New Roman" w:cs="Times New Roman" w:ascii="Times New Roman" w:hAnsi="Times New Roman"/>
          <w:sz w:val="24"/>
          <w:szCs w:val="24"/>
        </w:rPr>
        <w:t>/*тип договора*/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соответствии с принятыми на себя обязательствами. Точки поставки (адреса) указаны в /*мн.ч.3*/.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В соответствии с условиями /*мн.ч.4*/ в период, указанный в соответствующей графе вышеизложенной таблицы (далее – Период), Истец поставил Ответчику через присоединенную сеть в соответствии с /*мн.ч.*/ /*тип договора*/, а Ответчик, соответственно, обязан оплатить полученные ресурсы на основании /*мн.ч.5*/ и установленных тарифов для соответствующих групп потребителей.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136" w:leader="none"/>
        </w:tabs>
        <w:spacing w:lineRule="auto" w:line="271" w:before="0" w:after="0"/>
        <w:ind w:firstLine="709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За Ответчиком по /*мн.ч.6*/ образовалась задолженность </w:t>
        <w:br/>
        <w:t xml:space="preserve">за потребленные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ресурсы (/*поставляемые ресурсы3*/) в сум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ме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/*сумма долга*/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рублей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за указанный выше Период.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136" w:leader="none"/>
        </w:tabs>
        <w:spacing w:lineRule="auto" w:line="240" w:before="0" w:after="0"/>
        <w:ind w:firstLine="709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/*мн.ч.*/ 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 xml:space="preserve">/*список разделов*/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определены порядок и сроки взаиморасчетов за потребленные ресурсы, которые существенно нарушены Ответчиком.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Факт поставки /*поставляемые ресурсы2*/ в указанном в настоящем Иске количестве подтверждается соответствующими документами, прилагаемыми к настоящему иску, в том числе: актами приема-передачи энергоресурсов, счетами на оплату, счетами-фактурами.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Таким образом, Истец свои обязательства по /*мн.ч.2*/ исполнил надлежащим образом и в полном объеме, поставив Ответчику /*поставляемые ресурсы3*/ в соответствии с принятыми на себя обязательствами в отношении количества, качества </w:t>
        <w:br/>
        <w:t>и сроков их поставки. Ответчик оплату в полном размере не произвел.</w:t>
      </w:r>
    </w:p>
    <w:p>
      <w:pPr>
        <w:pStyle w:val="NoSpacing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Как следует из содержания п. 2 ст. 421, ст. 426, п. 4 ст. 445 Гражданского кодекса Российской Федерации (далее - ГК РФ) принуждать потребителя к заключению договора энергоснабжения теплоснабжающая организация не вправе. В тех случаях, когда потребитель пользуется услугами энергоснабжения, однако от заключения договора уклоняется, фактическое пользование абонентом тепловой энергией расценивается </w:t>
        <w:br/>
        <w:t>в соответствии с п. 3 ст. 438 ГК РФ как акцепт абонентом оферты.</w:t>
      </w:r>
    </w:p>
    <w:p>
      <w:pPr>
        <w:pStyle w:val="NoSpacing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Согласно п. 3 Информационного письма Президиума ВАС РФ от 17.02.1998 г. № 30 «Обзор практики разрешения споров, связанных с договором энергоснабжения» отсутствие договорных отношений с организацией, чьи теплопотребляющие установки присоединены к сетям энергоснабжающей организации не освобождает потребителя обязанности возместить стоимость отпущенной ему тепловой энергии.</w:t>
      </w:r>
    </w:p>
    <w:p>
      <w:pPr>
        <w:pStyle w:val="NoSpacing"/>
        <w:pageBreakBefore w:val="false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 соответствии с п. 1 ст. 539 ГК РФ по договору энергоснабжения энергоснабжающая организация обязуется подавать абоненту (потребителю) через присоединенную сеть энергию, а абонент обязуется оплачивать принятую энергию, а также соблюдать предусмотренный договором режим ее потребления, обеспечивать безопасность эксплуатации находящихся в его ведении энергетических сетей и исправность используемых им приборов и оборудования, связанных с потреблением энергии.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Согласно п. 1 ст. 544 ГК РФ оплата энергии производится за фактически принятое абонентом количество энергии в соответствии с данными учета энергии, если иное </w:t>
        <w:br/>
        <w:t>не предусмотрено законом, иными правовыми актами или соглашением сторон договора энергоснабжения (купли-продажи (поставки) энергии).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 силу ст. ст. 309, 310 ГК РФ обязательства должны исполняться надлежащим образом в соответствии с условиями обязательства и требованиями закона, иных правовых актов. Односторонний отказ от исполнения обязательства и одностороннее изменение его условий не допускаются за исключением случаев, предусмотренных действующим законодательством.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Соблюдение претензионного порядка.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0"/>
        <w:ind w:firstLine="709" w:left="0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Поскольку Ответчик свои обязательства по оплате поставленной /*поставляемые ресурсы4*/ исполнил ненадлежащим образом, Истцом направлены в его адрес 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претензии: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0" w:after="0"/>
        <w:ind w:hanging="357" w:left="992" w:right="0"/>
        <w:jc w:val="both"/>
        <w:rPr>
          <w:highlight w:val="none"/>
          <w:shd w:fill="auto" w:val="clear"/>
        </w:rPr>
      </w:pPr>
      <w:bookmarkStart w:id="2" w:name="_heading=h.ra5tosunmtw0"/>
      <w:bookmarkEnd w:id="2"/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list/*номер претензии*/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hanging="0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с предложением погасить образовавшуюся задолженность за ТЭ, которые оставлены Ответчиком без ответа. Задолженность в полном объеме не погашена. Копии претензий, </w:t>
        <w:br/>
        <w:t>а также документация в отношении направления/получения их Ответчиком, соблюдения претензионного порядка прилагаются к настоящему иску.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Неустойка.</w:t>
      </w:r>
    </w:p>
    <w:p>
      <w:pPr>
        <w:pStyle w:val="normal1"/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/*абзац важный*/</w:t>
      </w:r>
    </w:p>
    <w:p>
      <w:pPr>
        <w:pStyle w:val="normal1"/>
        <w:spacing w:lineRule="auto" w:line="240" w:before="0" w:after="120"/>
        <w:ind w:firstLine="709"/>
        <w:jc w:val="both"/>
        <w:rPr>
          <w:rFonts w:ascii="Times New Roman" w:hAnsi="Times New Roman" w:eastAsia="Times New Roman" w:cs="Times New Roman"/>
          <w:b/>
          <w:sz w:val="24"/>
          <w:szCs w:val="24"/>
          <w:u w:val="singl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Пунктом 1 Постановления Правительства РФ от 26.03.2022 г. № 474</w:t>
        <w:br/>
        <w:t xml:space="preserve">«О некоторых особенностях регулирования жилищных отношений в 2022 - 2024 годах», пунктом 1 Постановления Правительства РФ от 29 декабря 2023 г. № 2382 </w:t>
        <w:br/>
        <w:t xml:space="preserve">«О внесении изменений в постановление Правительства Российской Федерации от 26 марта 2022 г. № 474»), пунктом 1 Постановления Правительства РФ от 18 марта 2025 г. № 329 «О некоторых особенностях регулирования жилищных отношений в 2025 - 2026 годах» установлено, что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в период с 28 февраля 2022 года до 1 января 2027 года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начисление и уплата пени в случае неполного и (или) несвоевременного внесения платы за жилое помещение и коммунальные услуги, взносов на капитальный ремонт, установленных жилищным законодательством Российской Федерации, а также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начисление и взыскание неустойки (штрафа, пени) за несвоевременное и (или) не полностью исполненное юридическими лицами </w:t>
      </w:r>
      <w:r>
        <w:rPr>
          <w:rFonts w:eastAsia="Times New Roman" w:cs="Times New Roman" w:ascii="Times New Roman" w:hAnsi="Times New Roman"/>
          <w:sz w:val="24"/>
          <w:szCs w:val="24"/>
        </w:rPr>
        <w:t>и индивидуальными предпринимателями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обязательство по оплате услуг, предоставляемых на основании договоров в соответствии с законодательством Российской Федерации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 газоснабжении, об электроэнергетике,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 теплоснабжении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 водоснабжении и водоотведении,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об обращении с твердыми коммунальными отходами,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осуществляются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в порядке, предусмотренном указанным законодательством Российской Федерации,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исходя из минимального значения ключевой ставки Центрального банка Российской Федерации из следующих значений: </w:t>
      </w:r>
      <w:r>
        <w:rPr>
          <w:rFonts w:eastAsia="Times New Roman" w:cs="Times New Roman" w:ascii="Times New Roman" w:hAnsi="Times New Roman"/>
          <w:b/>
          <w:sz w:val="24"/>
          <w:szCs w:val="24"/>
          <w:u w:val="single"/>
        </w:rPr>
        <w:t>ключевая ставка Центрального банка Российской Федерации, действующая по состоянию на 27 февраля 2022 г., и ключевая ставка Банка России, действующая на день фактической оплаты.</w:t>
      </w:r>
    </w:p>
    <w:p>
      <w:pPr>
        <w:pStyle w:val="normal1"/>
        <w:spacing w:lineRule="auto" w:line="240" w:before="120" w:after="12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Исходя из размера Основного долга и Периода задолженности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неустойка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по /*мн.ч.2*/ сос</w:t>
      </w:r>
      <w:r>
        <w:rPr>
          <w:rFonts w:eastAsia="Times New Roman" w:cs="Times New Roman" w:ascii="Times New Roman" w:hAnsi="Times New Roman"/>
          <w:sz w:val="24"/>
          <w:szCs w:val="24"/>
        </w:rPr>
        <w:t>тавляет:</w:t>
      </w:r>
    </w:p>
    <w:tbl>
      <w:tblPr>
        <w:tblStyle w:val="Table3"/>
        <w:tblW w:w="932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2110"/>
        <w:gridCol w:w="1847"/>
        <w:gridCol w:w="1698"/>
        <w:gridCol w:w="1420"/>
        <w:gridCol w:w="2249"/>
      </w:tblGrid>
      <w:tr>
        <w:trPr>
          <w:trHeight w:val="846" w:hRule="atLeast"/>
        </w:trPr>
        <w:tc>
          <w:tcPr>
            <w:tcW w:w="2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Реквизиты (номер) договора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Период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Задолженность (основной долг), руб.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Неустойка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руб.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Итого по договору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(неустойка + основной долг), сумма, руб.</w:t>
            </w:r>
          </w:p>
        </w:tc>
      </w:tr>
      <w:tr>
        <w:trPr>
          <w:trHeight w:val="680" w:hRule="atLeast"/>
        </w:trPr>
        <w:tc>
          <w:tcPr>
            <w:tcW w:w="2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/>
                <w:shd w:fill="auto" w:val="clear"/>
              </w:rPr>
              <w:t>/*номер договора*/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/*период*/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/*задолженность*/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/*неустойка*/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/*неустойка+задолженность*/</w:t>
            </w:r>
          </w:p>
        </w:tc>
      </w:tr>
      <w:tr>
        <w:trPr>
          <w:trHeight w:val="411" w:hRule="atLeast"/>
        </w:trPr>
        <w:tc>
          <w:tcPr>
            <w:tcW w:w="39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ИТОГО: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/*сумма долга*/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/*неустойка общая*/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/*цена иска*/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120"/>
        <w:ind w:firstLine="709" w:left="0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Расчет суммы неустойки прилагается к настоящему исковому заявлению.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bookmarkStart w:id="3" w:name="_heading=h.k52ivkynkc9v"/>
      <w:bookmarkEnd w:id="3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Таким образом, общая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single"/>
          <w:shd w:fill="auto" w:val="clear"/>
          <w:vertAlign w:val="baseline"/>
        </w:rPr>
        <w:t>цена иска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составляет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/*цена иска*/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bookmarkStart w:id="4" w:name="_heading=h.iyq143tfb8u6"/>
      <w:bookmarkEnd w:id="4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Размер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single"/>
          <w:shd w:fill="auto" w:val="clear"/>
          <w:vertAlign w:val="baseline"/>
        </w:rPr>
        <w:t>государственной пошлины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составляет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/*госпошлина*/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На основании вышеизложенного, в соответствии со статьями 309, 310, 395, 539, 541, 544 Гражданского кодекса РФ, /*нужная статья*/, статьями 4, 125 Арбитражного процессуального кодекса Российской Федерации,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240" w:after="240"/>
        <w:ind w:firstLine="567" w:left="0" w:right="0"/>
        <w:jc w:val="center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ПРОСИМ СУД: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Взыскать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/*ответчик полное имя*/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(ОГРН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огрн*/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ИНН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/*ответчик инн*/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пользу Публичного акционерного общества «Московская объединенная энергетическая компания» (ОГРН /*истец огрн*/, </w:t>
        <w:br/>
        <w:t>ИНН /*истец инн*/) задолженность (основной долг) и неустойку по /*мн.ч.2*/ в общем размере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/*цена иска*/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рублей, в том числе: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shd w:val="clear" w:fill="auto"/>
        <w:spacing w:lineRule="auto" w:line="240" w:before="0" w:after="0"/>
        <w:ind w:hanging="426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по Договору 05.403297-ТЭ от 01.08.2017: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/*задолженность*/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руб. – основной долг за период 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>/*период*/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Spacing"/>
        <w:ind w:left="993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  <w:lang w:eastAsia="ru-RU"/>
        </w:rPr>
        <w:t>/*доля годовой корректировки*/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  <w:lang w:eastAsia="ru-RU"/>
        </w:rPr>
        <w:t xml:space="preserve"> руб. – доля годовой корректировки за 2024 год за период /*период корректировки*/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/*неустойка*/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руб. – неустойку за период с /*период неустойки 1*/ по /*период неустойки 2*/;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hanging="0" w:left="992" w:right="0"/>
        <w:jc w:val="both"/>
        <w:rPr>
          <w:highlight w:val="none"/>
          <w:shd w:fill="auto" w:val="clear"/>
        </w:rPr>
      </w:pPr>
      <w:bookmarkStart w:id="5" w:name="_heading=h.5z6qu5hcxdqu"/>
      <w:bookmarkEnd w:id="5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неустойку по день фактического исполнения обязательства, начиная с  /*начальная дата неустойки*/ года, рассчитанную исходя из 1/130 ставки рефинансирования Банка России;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Взыскать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 /*ответчик полное имя*/ (ОГРН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огрн*/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ИНН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инн*/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пользу Публичного акционерного общества «Московская объединенная энергетическая компания»  (ОГРН /*истец огрн*/, </w:t>
        <w:br/>
        <w:t xml:space="preserve">ИНН /*истец инн*/) расходы по оплате государственной пошлины  за подачу настоящего иска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/*госпошлина*/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рублей.</w:t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Приложения: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shd w:val="clear" w:fill="auto"/>
        <w:spacing w:lineRule="auto" w:line="240" w:before="0" w:after="0"/>
        <w:ind w:hanging="425" w:left="567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tbl>
      <w:tblPr>
        <w:tblStyle w:val="Table4"/>
        <w:tblW w:w="9349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4678"/>
        <w:gridCol w:w="2545"/>
        <w:gridCol w:w="2126"/>
      </w:tblGrid>
      <w:tr>
        <w:trPr/>
        <w:tc>
          <w:tcPr>
            <w:tcW w:w="4678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Представитель ПАО «МОЭК»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both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по доверенности</w:t>
            </w:r>
          </w:p>
        </w:tc>
        <w:tc>
          <w:tcPr>
            <w:tcW w:w="2545" w:type="dxa"/>
            <w:tcBorders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both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r>
          </w:p>
        </w:tc>
        <w:tc>
          <w:tcPr>
            <w:tcW w:w="2126" w:type="dxa"/>
            <w:tcBorders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righ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righ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Самошкина А.Е.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851" w:gutter="0" w:header="0" w:top="851" w:footer="306" w:bottom="851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Noto Sans Symbols">
    <w:charset w:val="01"/>
    <w:family w:val="swiss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left="0" w:right="0"/>
      <w:jc w:val="right"/>
      <w:rPr>
        <w:rFonts w:ascii="Times New Roman" w:hAnsi="Times New Roman" w:eastAsia="Times New Roman" w:cs="Times New Roman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left="0" w:right="0"/>
      <w:jc w:val="right"/>
      <w:rPr>
        <w:rFonts w:ascii="Times New Roman" w:hAnsi="Times New Roman" w:eastAsia="Times New Roman" w:cs="Times New Roman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927" w:hanging="360"/>
      </w:pPr>
      <w:rPr>
        <w:b/>
        <w:rFonts w:ascii="Times New Roman" w:hAnsi="Times New Roman" w:eastAsia="Times New Roman" w:cs="Times New Roman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647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367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087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807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527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247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967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687" w:hanging="180"/>
      </w:pPr>
      <w:rPr/>
    </w:lvl>
  </w:abstractNum>
  <w:abstractNum w:abstractNumId="3">
    <w:lvl w:ilvl="0">
      <w:start w:val="1"/>
      <w:numFmt w:val="bullet"/>
      <w:lvlText w:val="●"/>
      <w:lvlJc w:val="left"/>
      <w:pPr>
        <w:tabs>
          <w:tab w:val="num" w:pos="0"/>
        </w:tabs>
        <w:ind w:left="1571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3011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731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171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891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331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5">
    <w:lvl w:ilvl="0">
      <w:start w:val="1"/>
      <w:numFmt w:val="decimal"/>
      <w:lvlText w:val="%1)"/>
      <w:lvlJc w:val="left"/>
      <w:pPr>
        <w:tabs>
          <w:tab w:val="num" w:pos="0"/>
        </w:tabs>
        <w:ind w:left="1004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24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444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164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884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04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24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044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764" w:hanging="18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Основной текст (2)_"/>
    <w:link w:val="21"/>
    <w:uiPriority w:val="99"/>
    <w:qFormat/>
    <w:locked/>
    <w:rsid w:val="00940e25"/>
    <w:rPr>
      <w:shd w:fill="FFFFFF" w:val="clear"/>
    </w:rPr>
  </w:style>
  <w:style w:type="character" w:styleId="Style8" w:customStyle="1">
    <w:name w:val="Верхний колонтитул Знак"/>
    <w:basedOn w:val="DefaultParagraphFont"/>
    <w:uiPriority w:val="99"/>
    <w:qFormat/>
    <w:rsid w:val="00a9586a"/>
    <w:rPr>
      <w:rFonts w:ascii="Calibri" w:hAnsi="Calibri" w:eastAsia="Times New Roman" w:cs="Calibri"/>
    </w:rPr>
  </w:style>
  <w:style w:type="character" w:styleId="Style9" w:customStyle="1">
    <w:name w:val="Нижний колонтитул Знак"/>
    <w:basedOn w:val="DefaultParagraphFont"/>
    <w:uiPriority w:val="99"/>
    <w:qFormat/>
    <w:rsid w:val="00a9586a"/>
    <w:rPr>
      <w:rFonts w:ascii="Calibri" w:hAnsi="Calibri" w:eastAsia="Times New Roman" w:cs="Calibri"/>
    </w:rPr>
  </w:style>
  <w:style w:type="character" w:styleId="Style10" w:customStyle="1">
    <w:name w:val="Текст выноски Знак"/>
    <w:basedOn w:val="DefaultParagraphFont"/>
    <w:link w:val="BalloonText"/>
    <w:uiPriority w:val="99"/>
    <w:semiHidden/>
    <w:qFormat/>
    <w:rsid w:val="00e541cd"/>
    <w:rPr>
      <w:rFonts w:ascii="Segoe UI" w:hAnsi="Segoe UI" w:eastAsia="Times New Roman" w:cs="Segoe UI"/>
      <w:sz w:val="18"/>
      <w:szCs w:val="18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282234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282234"/>
    <w:rPr>
      <w:rFonts w:ascii="Calibri" w:hAnsi="Calibri" w:eastAsia="Times New Roman" w:cs="Calibri"/>
      <w:sz w:val="20"/>
      <w:szCs w:val="20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282234"/>
    <w:rPr>
      <w:rFonts w:ascii="Calibri" w:hAnsi="Calibri" w:eastAsia="Times New Roman" w:cs="Calibri"/>
      <w:b/>
      <w:bCs/>
      <w:sz w:val="20"/>
      <w:szCs w:val="20"/>
    </w:rPr>
  </w:style>
  <w:style w:type="character" w:styleId="layout" w:customStyle="1">
    <w:name w:val="layout"/>
    <w:basedOn w:val="DefaultParagraphFont"/>
    <w:qFormat/>
    <w:rsid w:val="00094b05"/>
    <w:rPr/>
  </w:style>
  <w:style w:type="character" w:styleId="LineNumber">
    <w:name w:val="Line Number"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NoSpacing">
    <w:name w:val="No Spacing"/>
    <w:uiPriority w:val="99"/>
    <w:qFormat/>
    <w:rsid w:val="00940e25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Times New Roman" w:cs="Calibri"/>
      <w:color w:val="auto"/>
      <w:kern w:val="0"/>
      <w:sz w:val="22"/>
      <w:szCs w:val="22"/>
      <w:lang w:val="ru-RU" w:eastAsia="zh-CN" w:bidi="hi-IN"/>
    </w:rPr>
  </w:style>
  <w:style w:type="paragraph" w:styleId="21" w:customStyle="1">
    <w:name w:val="Основной текст (2)"/>
    <w:link w:val="2"/>
    <w:uiPriority w:val="99"/>
    <w:qFormat/>
    <w:rsid w:val="00940e25"/>
    <w:pPr>
      <w:widowControl w:val="false"/>
      <w:shd w:val="clear" w:color="auto" w:fill="FFFFFF"/>
      <w:suppressAutoHyphens w:val="true"/>
      <w:bidi w:val="0"/>
      <w:spacing w:lineRule="exact" w:line="264" w:before="240" w:after="0"/>
      <w:jc w:val="both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zh-CN" w:bidi="hi-IN"/>
    </w:rPr>
  </w:style>
  <w:style w:type="paragraph" w:styleId="1" w:customStyle="1">
    <w:name w:val="Стиль1"/>
    <w:uiPriority w:val="99"/>
    <w:qFormat/>
    <w:rsid w:val="004e1112"/>
    <w:pPr>
      <w:widowControl/>
      <w:numPr>
        <w:ilvl w:val="0"/>
        <w:numId w:val="1"/>
      </w:numPr>
      <w:suppressAutoHyphens w:val="true"/>
      <w:bidi w:val="0"/>
      <w:spacing w:lineRule="auto" w:line="240" w:before="0" w:after="0"/>
      <w:jc w:val="both"/>
    </w:pPr>
    <w:rPr>
      <w:rFonts w:ascii="Calibri" w:hAnsi="Calibri" w:eastAsia="Calibri" w:cs="Times New Roman"/>
      <w:color w:val="auto"/>
      <w:kern w:val="0"/>
      <w:sz w:val="28"/>
      <w:szCs w:val="28"/>
      <w:lang w:val="ru-RU" w:eastAsia="ru-RU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link w:val="Style8"/>
    <w:uiPriority w:val="99"/>
    <w:unhideWhenUsed/>
    <w:rsid w:val="00a9586a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HeaderandFooter"/>
    <w:link w:val="Style9"/>
    <w:uiPriority w:val="99"/>
    <w:unhideWhenUsed/>
    <w:rsid w:val="00a9586a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ListParagraph">
    <w:name w:val="List Paragraph"/>
    <w:uiPriority w:val="34"/>
    <w:qFormat/>
    <w:rsid w:val="00380526"/>
    <w:pPr>
      <w:widowControl/>
      <w:suppressAutoHyphens w:val="true"/>
      <w:bidi w:val="0"/>
      <w:spacing w:lineRule="auto" w:line="276" w:before="0" w:after="200"/>
      <w:ind w:left="72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BalloonText">
    <w:name w:val="Balloon Text"/>
    <w:link w:val="Style10"/>
    <w:uiPriority w:val="99"/>
    <w:semiHidden/>
    <w:unhideWhenUsed/>
    <w:qFormat/>
    <w:rsid w:val="00e541cd"/>
    <w:pPr>
      <w:widowControl/>
      <w:suppressAutoHyphens w:val="true"/>
      <w:bidi w:val="0"/>
      <w:spacing w:lineRule="auto" w:line="240" w:before="0" w:after="0"/>
      <w:jc w:val="left"/>
    </w:pPr>
    <w:rPr>
      <w:rFonts w:ascii="Segoe UI" w:hAnsi="Segoe UI" w:eastAsia="Calibri" w:cs="Segoe UI"/>
      <w:color w:val="auto"/>
      <w:kern w:val="0"/>
      <w:sz w:val="18"/>
      <w:szCs w:val="18"/>
      <w:lang w:val="ru-RU" w:eastAsia="zh-CN" w:bidi="hi-IN"/>
    </w:rPr>
  </w:style>
  <w:style w:type="paragraph" w:styleId="AnnotationText">
    <w:name w:val="Annotation Text"/>
    <w:basedOn w:val="BodyText"/>
    <w:link w:val="Style11"/>
    <w:uiPriority w:val="99"/>
    <w:semiHidden/>
    <w:unhideWhenUsed/>
    <w:rsid w:val="00282234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Style12"/>
    <w:uiPriority w:val="99"/>
    <w:semiHidden/>
    <w:unhideWhenUsed/>
    <w:qFormat/>
    <w:rsid w:val="00282234"/>
    <w:pPr/>
    <w:rPr>
      <w:b/>
      <w:bCs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tyle15">
    <w:name w:val="Содержимое таблицы"/>
    <w:basedOn w:val="Normal"/>
    <w:qFormat/>
    <w:pPr>
      <w:widowControl w:val="false"/>
      <w:suppressLineNumbers/>
    </w:pPr>
    <w:rPr/>
  </w:style>
  <w:style w:type="paragraph" w:styleId="Style16">
    <w:name w:val="Заголовок таблицы"/>
    <w:basedOn w:val="Style15"/>
    <w:qFormat/>
    <w:pPr>
      <w:suppressLineNumbers/>
      <w:jc w:val="center"/>
    </w:pPr>
    <w:rPr>
      <w:b/>
      <w:bCs/>
    </w:rPr>
  </w:style>
  <w:style w:type="numbering" w:styleId="Style17" w:default="1">
    <w:name w:val="Без списка"/>
    <w:uiPriority w:val="99"/>
    <w:semiHidden/>
    <w:unhideWhenUsed/>
    <w:qFormat/>
  </w:style>
  <w:style w:type="table" w:default="1" w:styleId="TableNormal">
    <w:name w:val="TableNormal"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rsid w:val="004e111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SkbEVmSa7XaE7qrXI1/YbPLLDQg==">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445</TotalTime>
  <Application>LibreOffice/24.2.7.2$Linux_X86_64 LibreOffice_project/420$Build-2</Application>
  <AppVersion>15.0000</AppVersion>
  <Pages>4</Pages>
  <Words>1067</Words>
  <Characters>7437</Characters>
  <CharactersWithSpaces>8441</CharactersWithSpaces>
  <Paragraphs>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2024-06-25T08:20:00Z</dcterms:created>
  <dc:creator/>
  <dc:description/>
  <dc:language>ru-RU</dc:language>
  <cp:lastModifiedBy/>
  <dcterms:modified xsi:type="dcterms:W3CDTF">2025-09-29T23:28:52Z</dcterms:modified>
  <cp:revision>106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