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>
      <w:pPr>
        <w:pStyle w:val="Normal"/>
        <w:bidi w:val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Предметная область:</w:t>
      </w:r>
    </w:p>
    <w:p>
      <w:pPr>
        <w:pStyle w:val="Style17"/>
        <w:widowControl/>
        <w:suppressAutoHyphens w:val="true"/>
        <w:overflowPunct w:val="false"/>
        <w:bidi w:val="0"/>
        <w:spacing w:lineRule="auto" w:line="276" w:before="0" w:after="140"/>
        <w:ind w:left="0" w:right="0" w:firstLine="510"/>
        <w:jc w:val="left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О каждом договоре залога известно: дата открытия договора (обязательное поле), дата фиксации договора (когда договор подписан, его фиксируют и после этого изменить уже нельзя, дата фиксации обязательно позже даты открытия), дата закрытия договора (обязательное поле, дата закрытия обязательно позже даты фиксации, после закрытия за пользование кредитом начисляется пеня, к закрытию – стандартные проценты в соответствии с выбранной процентной ставкой), количество денег, выданных на руки (обязательное поле), оценочная стоимость предметов залога (обязательное поле, может быть больше, но не может быть меньше денег, выданных на руки); номер договора (обязательное уникальное поле), ФИО клиента (обязательное поле), процентная ставка (напр., «стандарт», «для постоянных клиентов», «для друзей» и т.п., обязательное поле). ИС работает в режиме администратора и в режиме кассира. Администратор может просматривать список и редактировать отдельные записи.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2. 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ПрО</w:t>
      </w:r>
      <w:r>
        <w:rPr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Style w:val="Style13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ИС-регистратор договоров залога в ломбарде.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Style w:val="Style13"/>
          <w:rFonts w:ascii="Liberation Serif" w:hAnsi="Liberation 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Название ИС:</w:t>
      </w:r>
      <w:r>
        <w:rPr>
          <w:rStyle w:val="Style13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PPARSystem - Pawnbroker's pledge agreement registration system.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rPr/>
      </w:pPr>
      <w:r>
        <w:rPr>
          <w:rStyle w:val="Style13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Границы ИС: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rPr/>
      </w:pPr>
      <w:r>
        <w:rPr>
          <w:rStyle w:val="Style13"/>
          <w:rFonts w:ascii="Liberation Serif" w:hAnsi="Liberation Serif"/>
          <w:b w:val="false"/>
          <w:bCs w:val="false"/>
          <w:i/>
          <w:iCs/>
          <w:caps w:val="false"/>
          <w:smallCaps w:val="false"/>
          <w:color w:val="000000"/>
          <w:spacing w:val="0"/>
        </w:rPr>
        <w:t>Внутренние границы (внутри системы):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Учет договоров залога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Регистрация и хранение информации о залоговых договорах (номер договора, дата, сумма, срок, проценты и условия выкупа).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Автоматическое обновление статусов договоров (например, активный, погашенный, просроченный).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Учет клиентов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Ведение базы данных клиентов с их личной информацией (имя, контакты, документы).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История взаимоотношений с клиентом (предыдущие залоги, выкупы и т.д.).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Операции с залогом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Оценка предмета залога (стоимость, характеристики).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Регистрация факта выдачи/возврата залогового имущества.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Финансовые операции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Учёт платежей по процентам и основному долгу.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Автоматическое начисление процентов и отслеживание сроков погашения задолженности.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Отчеты и аналитика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Генерация отчетов для внутреннего использования (по доходам, количеству договоров, статистике по клиентам и т.д.).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Анализ данных для управления рисками и финансовыми потоками.</w:t>
      </w:r>
    </w:p>
    <w:p>
      <w:pPr>
        <w:pStyle w:val="Style17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</w:rPr>
        <w:t>Безопасность данных</w:t>
      </w:r>
      <w:r>
        <w:rPr/>
        <w:t>: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left="1418" w:hanging="283"/>
        <w:rPr/>
      </w:pPr>
      <w:r>
        <w:rPr/>
        <w:t>Контроль доступа к данным в системе (права пользователей, администраторов).</w:t>
      </w:r>
    </w:p>
    <w:p>
      <w:pPr>
        <w:pStyle w:val="Style17"/>
        <w:numPr>
          <w:ilvl w:val="1"/>
          <w:numId w:val="1"/>
        </w:numPr>
        <w:tabs>
          <w:tab w:val="clear" w:pos="709"/>
          <w:tab w:val="left" w:pos="0" w:leader="none"/>
        </w:tabs>
        <w:ind w:left="1418" w:hanging="283"/>
        <w:rPr/>
      </w:pPr>
      <w:r>
        <w:rPr/>
        <w:t>Шифрование и защита персональных данных клиентов.</w:t>
      </w:r>
    </w:p>
    <w:p>
      <w:pPr>
        <w:pStyle w:val="3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Внешние границы (взаимодействие с внешними системами):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Взаимодействие с банками</w:t>
      </w:r>
      <w:r>
        <w:rPr>
          <w:sz w:val="24"/>
          <w:szCs w:val="24"/>
        </w:rPr>
        <w:t>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sz w:val="24"/>
          <w:szCs w:val="24"/>
        </w:rPr>
      </w:pPr>
      <w:r>
        <w:rPr>
          <w:sz w:val="24"/>
          <w:szCs w:val="24"/>
        </w:rPr>
        <w:t>Передача и приём данных по финансовым транзакциям (например, для оплаты процентов или погашения основного долга).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Регулирующие органы</w:t>
      </w:r>
      <w:r>
        <w:rPr>
          <w:sz w:val="24"/>
          <w:szCs w:val="24"/>
        </w:rPr>
        <w:t>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sz w:val="24"/>
          <w:szCs w:val="24"/>
        </w:rPr>
      </w:pPr>
      <w:r>
        <w:rPr>
          <w:sz w:val="24"/>
          <w:szCs w:val="24"/>
        </w:rPr>
        <w:t>Обмен информацией с государственными органами, которые регулируют деятельность ломбарда (например, предоставление отчетов для налоговых органов).</w:t>
      </w:r>
    </w:p>
    <w:p>
      <w:pPr>
        <w:pStyle w:val="Style17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Интеграция с CRM-системами</w:t>
      </w:r>
      <w:r>
        <w:rPr>
          <w:sz w:val="24"/>
          <w:szCs w:val="24"/>
        </w:rPr>
        <w:t>:</w:t>
      </w:r>
    </w:p>
    <w:p>
      <w:pPr>
        <w:pStyle w:val="Style17"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1418" w:hanging="283"/>
        <w:rPr>
          <w:sz w:val="24"/>
          <w:szCs w:val="24"/>
        </w:rPr>
      </w:pPr>
      <w:r>
        <w:rPr>
          <w:sz w:val="24"/>
          <w:szCs w:val="24"/>
        </w:rPr>
        <w:t>Возможность взаимодействия с внешними системами управления взаимоотношениями с клиентами для улучшения обслуживания и маркетинговых целей.</w:t>
      </w:r>
    </w:p>
    <w:p>
      <w:pPr>
        <w:pStyle w:val="3"/>
        <w:rPr>
          <w:b w:val="false"/>
          <w:b w:val="false"/>
          <w:bCs w:val="false"/>
          <w:i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Границы также включают: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3"/>
          <w:sz w:val="24"/>
          <w:szCs w:val="24"/>
        </w:rPr>
        <w:t>Технические ограничения</w:t>
      </w:r>
      <w:r>
        <w:rPr>
          <w:sz w:val="24"/>
          <w:szCs w:val="24"/>
        </w:rPr>
        <w:t>: например, серверное оборудование, системы хранения данных и облачные решения, которые используются для работы системы.</w:t>
      </w:r>
    </w:p>
    <w:p>
      <w:pPr>
        <w:pStyle w:val="Style17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3"/>
          <w:sz w:val="24"/>
          <w:szCs w:val="24"/>
        </w:rPr>
        <w:t>Регламентированные процессы</w:t>
      </w:r>
      <w:r>
        <w:rPr>
          <w:sz w:val="24"/>
          <w:szCs w:val="24"/>
        </w:rPr>
        <w:t>: Правила, которые ограничивают действия пользователей, такие как лимиты на суммы залога, процедуры возврата и утилизации залога, требования к отчетности.</w:t>
      </w:r>
    </w:p>
    <w:p>
      <w:pPr>
        <w:pStyle w:val="Normal"/>
        <w:widowControl/>
        <w:suppressAutoHyphens w:val="true"/>
        <w:overflowPunct w:val="false"/>
        <w:bidi w:val="0"/>
        <w:spacing w:lineRule="auto" w:line="276" w:before="0" w:after="14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Style w:val="Style13"/>
          <w:rFonts w:ascii="Liberation Serif" w:hAnsi="Liberation 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3. Глоссарий:</w:t>
      </w:r>
    </w:p>
    <w:p>
      <w:pPr>
        <w:pStyle w:val="Style17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3">
    <w:name w:val="Heading 3"/>
    <w:basedOn w:val="Style16"/>
    <w:next w:val="Style17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yle13">
    <w:name w:val="Выделение жирным"/>
    <w:qFormat/>
    <w:rPr>
      <w:b/>
      <w:bCs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2</Pages>
  <Words>397</Words>
  <Characters>2748</Characters>
  <CharactersWithSpaces>3085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2024-09-30T15:40:55Z</dcterms:created>
  <dc:creator/>
  <dc:description/>
  <dc:language>ru-RU</dc:language>
  <cp:lastModifiedBy/>
  <dcterms:modified xsi:type="dcterms:W3CDTF">2024-09-30T16:18:20Z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