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RAHTIS</w:t>
      </w:r>
    </w:p>
    <w:p>
      <w:r>
        <w:rPr>
          <w:b/>
          <w:sz w:val="46"/>
        </w:rPr>
        <w:t>Политика конфиденциальности</w:t>
      </w:r>
    </w:p>
    <w:p>
      <w:r>
        <w:t>Privacy Notice • Обработка персональных данных в RAHTIS</w:t>
      </w:r>
    </w:p>
    <w:p>
      <w:r>
        <w:rPr>
          <w:sz w:val="20"/>
        </w:rPr>
        <w:t>Русский рабочий проект • редакция 16.09.2026</w:t>
        <w:br/>
        <w:t>Дата вступления в силу: подлежит утверждению</w:t>
      </w:r>
    </w:p>
    <w:p>
      <w:pPr>
        <w:pStyle w:val="Heading1"/>
      </w:pPr>
      <w:r>
        <w:t>1. Кто обрабатывает данные</w:t>
      </w:r>
    </w:p>
    <w:p>
      <w:r>
        <w:t>1.1. Контролёр персональных данных в пределах целей, описанных в настоящей Политике, — Aivomaa Oy, Y-tunnus 3592993-6, Финляндия. Контакт для обращений: admin@rahtis.eu. Почтовый адрес: [УКАЗАТЬ ЗАРЕГИСТРИРОВАННЫЙ АДРЕС].</w:t>
      </w:r>
    </w:p>
    <w:p>
      <w:r>
        <w:t>1.2. Политика относится к представителям компаний, пользователям RAHTIS, водителям и контактным лицам по перевозкам. Сведения о юридическом лице могут не быть персональными данными, однако сведения о его работниках и предпринимателях — физических лицах защищаются в соответствии с применимым правом.</w:t>
      </w:r>
    </w:p>
    <w:p>
      <w:r>
        <w:t>1.3. Заказчики и Перевозчики могут самостоятельно определять цели обработки данных своих работников и контактов. Их обязанности не заменяют обязанности Aivomaa Oy. Если по отдельной операции Aivomaa Oy действует только по документированным поручениям другого контролёра, соответствующая роль и условия обработки должны быть определены отдельно.</w:t>
      </w:r>
    </w:p>
    <w:p>
      <w:pPr>
        <w:pStyle w:val="Heading1"/>
      </w:pPr>
      <w:r>
        <w:t>2. Какие данные используются и откуда они поступают</w:t>
      </w:r>
    </w:p>
    <w:p>
      <w:r>
        <w:t>2.1. Данные компании и расчётов: наименование, регистрационный и налоговый номера, адреса, реквизиты счетов, банковский счёт, адрес электронной фактуры, сведения о платежах и принятых условиях.</w:t>
      </w:r>
    </w:p>
    <w:p>
      <w:r>
        <w:t>2.2. Данные пользователей: имя, электронная почта, телефон, компания, роль и полномочия. Данные водителей: имя, телефон или номер WhatsApp, язык общения и связь с транспортом или заказом. Эти сведения может вносить работодатель или Перевозчик.</w:t>
      </w:r>
    </w:p>
    <w:p>
      <w:r>
        <w:t>2.3. Данные перевозок: адреса и координаты точек, расписание, сведения о грузе, контакты отправителя и получателя, назначение исполнителя, этапы и история изменений заказа. Координаты адреса не равнозначны непрерывному отслеживанию устройства водителя.</w:t>
      </w:r>
    </w:p>
    <w:p>
      <w:r>
        <w:t>2.4. Документы и материалы: CMR, фотографии погрузки, выгрузки и повреждений, подписи, сообщения и иные приложенные к заказу доказательства. Такие материалы могут содержать сведения о контактных лицах, регистрационные номера транспорта и изображения людей.</w:t>
      </w:r>
    </w:p>
    <w:p>
      <w:r>
        <w:t>2.5. Технические записи: входы в аккаунт, изменения статусов, отправленные сообщения и сведения об инцидентах. [УТОЧНИТЬ: IP-адреса, идентификаторы устройств, cookie, аналитика и конкретные диагностические данные, если они собираются.]</w:t>
      </w:r>
    </w:p>
    <w:p>
      <w:r>
        <w:t>2.6. Данные поступают от самого человека, компании, от имени которой он действует, Заказчика, Перевозчика, участников исполнения заказа, из документов и действий в сервисе. Регистрационные сведения компаний проверяются по публичным реестрам.</w:t>
      </w:r>
    </w:p>
    <w:p>
      <w:pPr>
        <w:pStyle w:val="Heading1"/>
      </w:pPr>
      <w:r>
        <w:t>3. Для чего и на каком основании обрабатываются данные</w:t>
      </w:r>
    </w:p>
    <w:p>
      <w:r>
        <w:t>3.1. Доступ, работа с представителями компаний, организация и сопровождение перевозок, связь, передача документов и подтверждение исполнения: законный интерес Aivomaa Oy и соответствующих компаний в ведении и документировании деловых отношений, с оценкой необходимости и прав затронутых лиц. Если сам человек является стороной договора, необходимые для этого данные могут обрабатываться для заключения или исполнения его договора.</w:t>
      </w:r>
    </w:p>
    <w:p>
      <w:r>
        <w:t>3.2. Бухгалтерский учёт, выставление счетов и выполнение обязательных требований: исполнение юридических обязанностей Aivomaa Oy. Наличие договора с компанией само по себе не делает каждого её работника стороной этого договора.</w:t>
      </w:r>
    </w:p>
    <w:p>
      <w:r>
        <w:t>3.3. Безопасность, контроль доступа, предотвращение злоупотреблений, проверка реквизитов, расследование инцидентов и защита требований: законные интересы Aivomaa Oy и участников заказов при соблюдении необходимого баланса прав.</w:t>
      </w:r>
    </w:p>
    <w:p>
      <w:r>
        <w:t>3.4. Для необязательной обработки, требующей согласия, оно запрашивается отдельно, для конкретной цели. Согласие можно отозвать без влияния на законность предшествующей обработки. Принятие Terms или внесение работодателем номера телефона не является универсальным согласием на геолокацию, маркетинг либо передачу данных любым AI-сервисам.</w:t>
      </w:r>
    </w:p>
    <w:p>
      <w:r>
        <w:t>3.5. Сведения, необходимые для идентификации компании, связи, исполнения заказа и обязательного учёта, требуются для соответствующих операций. Без них регистрация, выполнение задания или расчёты могут оказаться невозможны. Необязательные поля и последствия отказа должны обозначаться отдельно.</w:t>
      </w:r>
    </w:p>
    <w:p>
      <w:pPr>
        <w:pStyle w:val="Heading1"/>
      </w:pPr>
      <w:r>
        <w:t>4. Кому предоставляются данные</w:t>
      </w:r>
    </w:p>
    <w:p>
      <w:r>
        <w:t>4.1. Участникам конкретной перевозки передаётся необходимая для их роли информация: исполнителю — задание, адреса и необходимые контакты; Заказчику — сведения о ходе выполнения и документы его заказа. Доступ к данным других компаний и посторонних заказов не предоставляется только вследствие регистрации в RAHTIS.</w:t>
      </w:r>
    </w:p>
    <w:p>
      <w:r>
        <w:t>4.2. Технические поставщики могут обрабатывать данные для размещения приложения и базы данных, работы платформы, адресов, маршрутов, карт и доставки сообщений. Их роль и доступ определяются фактической услугой; с обработчиками заключаются требуемые соглашения и даются документированные инструкции.</w:t>
      </w:r>
    </w:p>
    <w:p>
      <w:r>
        <w:t>4.3. Сервисам адресов и маршрутизации передаются данные, необходимые для определения координат и расчёта маршрута. [ПРОВЕРИТЬ ФАКТИЧЕСКИЙ СОСТАВ: адрес, координаты и технические метаданные запросов; опубликованная версия указывает, что иные персональные данные туда не передаются.]</w:t>
      </w:r>
    </w:p>
    <w:p>
      <w:r>
        <w:t>4.4. Данные могут передаваться банкам и платёжной инфраструктуре для расчётов, профессиональным консультантам и страховщикам для соответствующего вопроса, а также компетентным органам при наличии законного основания. Передача ограничивается необходимым объёмом.</w:t>
      </w:r>
    </w:p>
    <w:p>
      <w:r>
        <w:t>4.5. [ЗАПОЛНИТЬ ПЕРЕД ПУБЛИКАЦИЕЙ: фактические поставщики хостинга, базы данных, карт, маршрутизации, почты; используемые WhatsApp/Meta и AI-сервисы, если применяются; их роли, категории получаемых данных и страны обработки. Перечень может быть вынесен на поддерживаемую страницу со ссылкой здесь.]</w:t>
      </w:r>
    </w:p>
    <w:p>
      <w:pPr>
        <w:pStyle w:val="Heading1"/>
      </w:pPr>
      <w:r>
        <w:t>5. Передачи за пределы ЕЭЗ</w:t>
      </w:r>
    </w:p>
    <w:p>
      <w:r>
        <w:t>5.1. Страны хранения и удалённого доступа определяются фактической инфраструктурой и поставщиками. Настоящий проект не утверждает, что все данные обрабатываются исключительно в Финляндии или ЕЭЗ.</w:t>
      </w:r>
    </w:p>
    <w:p>
      <w:r>
        <w:t>5.2. Передача за пределы ЕЭЗ допускается при наличии применимого правового механизма, например решения о достаточности защиты либо надлежащих гарантий и необходимых дополнительных мер. Само использование известного облачного сервиса не подтверждает соблюдение этих требований.</w:t>
      </w:r>
    </w:p>
    <w:p>
      <w:r>
        <w:t>5.3. [ЗАПОЛНИТЬ: получатели и страны вне ЕЭЗ, применяемый механизм по каждой передаче, ссылка на соответствующие гарантии либо порядок получения их копии через admin@rahtis.eu. Если таких передач нет, подтвердить это по договорам и конфигурации, включая удалённую поддержку.]</w:t>
      </w:r>
    </w:p>
    <w:p>
      <w:pPr>
        <w:pStyle w:val="Heading1"/>
      </w:pPr>
      <w:r>
        <w:t>6. Геолокация, сообщения и автоматизация</w:t>
      </w:r>
    </w:p>
    <w:p>
      <w:r>
        <w:t>6.1. Сервис использует координаты точек маршрута и события выполнения заказа. [УТОЧНИТЬ ДО ПУБЛИКАЦИИ: собираются ли GPS-координаты устройства водителя; при каких действиях, как часто, в рабочем ли режиме, кому видны, сколько хранятся и на каком основании обрабатываются.]</w:t>
      </w:r>
    </w:p>
    <w:p>
      <w:r>
        <w:t>6.2. Указание номера WhatsApp позволяет идентифицировать соответствующий контакт, но само по себе не описывает обработку сообщений сервисами Meta. [УТОЧНИТЬ: используется ли WhatsApp Business/API, кто поставщик интеграции, какие сообщения и вложения сохраняются, где и на какой срок.]</w:t>
      </w:r>
    </w:p>
    <w:p>
      <w:r>
        <w:t>6.3. [УТОЧНИТЬ: используются ли AI-поставщики для обработки сообщений, документов или иных персональных данных; какие данные передаются, цели, страны обработки, сроки хранения и условия использования для обучения. При отсутствии такой обработки указать это прямо.]</w:t>
      </w:r>
    </w:p>
    <w:p>
      <w:r>
        <w:t>6.4. [ПОДТВЕРДИТЬ: принимаются ли исключительно автоматизированные решения, имеющие юридические или сопоставимые существенные последствия для человека. Если да — описать применимый режим, значимую информацию о логике, последствия и возможность вмешательства человека; если нет — прямо указать отсутствие таких решений.]</w:t>
      </w:r>
    </w:p>
    <w:p>
      <w:pPr>
        <w:pStyle w:val="Heading1"/>
      </w:pPr>
      <w:r>
        <w:t>7. Сроки хранения</w:t>
      </w:r>
    </w:p>
    <w:p>
      <w:r>
        <w:t>7.1. Данные хранятся не дольше, чем необходимо для конкретной цели, с учётом обязательного учёта, действующих договоров, возможных требований и защиты прав. Закрытие аккаунта не означает немедленное удаление всех расчётных и перевозочных документов.</w:t>
      </w:r>
    </w:p>
    <w:p>
      <w:r>
        <w:t>7.2. Бухгалтерские документы сохраняются в течение сроков, установленных применимым законодательством для соответствующего вида документа. Для документов перевозки дополнительно учитываются применимые сроки требований и необходимость их подтверждения. Нельзя без отдельного основания распространять срок хранения счетов на все GPS-точки, фотографии и технические журналы.</w:t>
      </w:r>
    </w:p>
    <w:p>
      <w:r>
        <w:t>7.3. [ЗАПОЛНИТЬ ТАБЛИЦУ ХРАНЕНИЯ: аккаунты после закрытия; договоры и подтверждения принятия; счета и бухгалтерские документы; CMR и другие документы перевозки; фотографии; сообщения; геолокация, если есть; журналы доступа и инцидентов; резервные копии. Для каждой категории указать срок или понятный критерий его определения и событие начала отсчёта.]</w:t>
      </w:r>
    </w:p>
    <w:p>
      <w:r>
        <w:t>7.4. Данные, необходимые для конкретного незавершённого спора или законного требования, могут сохраняться до разрешения вопроса и истечения применимого срока защиты прав. Доступ к таким данным ограничивается соответствующей целью.</w:t>
      </w:r>
    </w:p>
    <w:p>
      <w:pPr>
        <w:pStyle w:val="Heading1"/>
      </w:pPr>
      <w:r>
        <w:t>8. Права человека и обращения</w:t>
      </w:r>
    </w:p>
    <w:p>
      <w:r>
        <w:t>8.1. В предусмотренных законом случаях человек может получить информацию и доступ к своим данным, потребовать исправления, удаления или ограничения обработки, возразить против обработки на основании законного интереса и получить переносимые данные, когда применимы условия этого права. Эти права не являются безусловным требованием удалить документы, которые необходимо хранить по закону.</w:t>
      </w:r>
    </w:p>
    <w:p>
      <w:r>
        <w:t>8.2. Запрос направляется на admin@rahtis.eu. Для защиты данных Aivomaa Oy может запросить соразмерное подтверждение личности. Водитель вправе обращаться непосредственно в Aivomaa Oy по её обработке данных; предварительное обращение к работодателю не является обязательным условием рассмотрения такого запроса.</w:t>
      </w:r>
    </w:p>
    <w:p>
      <w:r>
        <w:t>8.3. Ответ предоставляется без неоправданной задержки, обычно в течение одного месяца. Если закон допускает продление из-за сложности или числа запросов, заявителю сообщаются продление и причины в установленный срок. Отказ должен быть мотивирован.</w:t>
      </w:r>
    </w:p>
    <w:p>
      <w:r>
        <w:t>8.4. Человек вправе подать жалобу в надзорный орган, в том числе в Управление уполномоченного по защите данных Финляндии: https://tietosuoja.fi/en/notification-to-the-data-protection-ombudsman. Обращение в Aivomaa Oy не ограничивает предусмотренное законом право на жалобу.</w:t>
      </w:r>
    </w:p>
    <w:p>
      <w:pPr>
        <w:pStyle w:val="Heading1"/>
      </w:pPr>
      <w:r>
        <w:t>9. Защита данных и обновления</w:t>
      </w:r>
    </w:p>
    <w:p>
      <w:r>
        <w:t>9.1. Aivomaa Oy применяет соразмерные организационные и технические меры, включая разграничение доступа по ролям, управление доступом и меры защиты учётных данных. Объём мер определяется характером данных и рисками. Пользователи не должны передавать доступ посторонним или загружать избыточные сведения.</w:t>
      </w:r>
    </w:p>
    <w:p>
      <w:r>
        <w:t>9.2. [ПОДТВЕРДИТЬ: фактические меры резервного копирования, шифрования и регистрации доступа; описывать только реально применяемые меры, без раскрытия секретов или обещания абсолютной безопасности.]</w:t>
      </w:r>
    </w:p>
    <w:p>
      <w:r>
        <w:t>9.3. При изменении обработки Политика обновляется с указанием редакции и даты. О существенных изменениях сообщается затронутым пользователям; если требуется согласие, оно запрашивается отдельно. Политика доступна по ссылке «Конфиденциальность» на сайте RAHTIS.</w:t>
      </w:r>
    </w:p>
    <w:p>
      <w:r>
        <w:br w:type="page"/>
      </w:r>
    </w:p>
    <w:p>
      <w:pPr>
        <w:pStyle w:val="Heading1"/>
      </w:pPr>
      <w:r>
        <w:t>Редакционные примечания — не публиковать</w:t>
      </w:r>
    </w:p>
    <w:p>
      <w:r>
        <w:t>Проект подготовлен с учётом опубликованной Privacy notice RAHTIS, версия 4 от 07.09.2026: https://rahtis.eu/en/privacy. В этой версии пункт 5.4 оставлен незаполненным, получатели названы категориями, а сроки хранения указаны в общей форме. Незавершённые сведения не были придуманы при подготовке нового проекта.</w:t>
      </w:r>
    </w:p>
    <w:p>
      <w:r>
        <w:t>Этот документ пока не готов к публикации: требуется заполнить все квадратные скобки и сверить фактическую схему обработки. Особенно важны получатели и международные передачи, GPS/WhatsApp/AI, сроки хранения и cookie. Если используются необязательные cookie, описать их и механизм выбора отдельно с учётом фактического сайта.</w:t>
      </w:r>
    </w:p>
    <w:p>
      <w:r>
        <w:t>Проверить выбранные основания обработки по каждой цели, включая данные сотрудников контрагентов; при законном интересе документировать оценку баланса. Согласовать соглашения с обработчиками и информирование людей, чьи данные получены не от них самих. Настоящая Политика не заменяет эти действия.</w:t>
      </w:r>
    </w:p>
    <w:p>
      <w:r>
        <w:t>Правовая основа проверки: GDPR (Регламент ЕС 2016/679), в частности статьи 5–6, 12–22, 28 и 44–49. Официальный текст: https://eur-lex.europa.eu/eli/reg/2016/679/oj. Контакт и порядок обращения финского надзорного органа приведены в пункте 8.4.</w:t>
      </w:r>
    </w:p>
    <w:sectPr w:rsidR="00FC693F" w:rsidRPr="0006063C" w:rsidSect="00034616">
      <w:footerReference w:type="default" r:id="rId9"/>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sz w:val="18"/>
      </w:rPr>
      <w:t xml:space="preserve">RAHTIS • Aivomaa Oy • Проект 16.09.2026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0202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020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Политика конфиденциальности</dc:title>
  <dc:subject>Рабочий проект для согласования</dc:subject>
  <dc:creator>Aivomaa Oy</dc:creator>
  <cp:keywords/>
  <dc:description>generated by python-docx</dc:description>
  <cp:lastModifiedBy/>
  <cp:revision>1</cp:revision>
  <dcterms:created xsi:type="dcterms:W3CDTF">2013-12-23T23:15:00Z</dcterms:created>
  <dcterms:modified xsi:type="dcterms:W3CDTF">2013-12-23T23:15:00Z</dcterms:modified>
  <cp:category/>
</cp:coreProperties>
</file>