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5pn9yzc508m" w:id="0"/>
      <w:bookmarkEnd w:id="0"/>
      <w:r w:rsidDel="00000000" w:rsidR="00000000" w:rsidRPr="00000000">
        <w:rPr>
          <w:rtl w:val="0"/>
        </w:rPr>
        <w:t xml:space="preserve">Общее описание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Лабораторные работы - это поэтапная работа над одним проектом. </w:t>
      </w:r>
      <w:r w:rsidDel="00000000" w:rsidR="00000000" w:rsidRPr="00000000">
        <w:rPr>
          <w:b w:val="1"/>
          <w:rtl w:val="0"/>
        </w:rPr>
        <w:t xml:space="preserve">В связи с этим, перед выполнением работ, рекомендуется предварительно ознакомиться с текстом всех работ.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Лабораторные работы выполняются и защищаются индивидуально.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 лаб. работу может быть выставлено неполное количество баллов в случае наличия ошибок, невыполнения требований или замечаний.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mw2du5u0j0fj" w:id="1"/>
      <w:bookmarkEnd w:id="1"/>
      <w:r w:rsidDel="00000000" w:rsidR="00000000" w:rsidRPr="00000000">
        <w:rPr>
          <w:rtl w:val="0"/>
        </w:rPr>
        <w:t xml:space="preserve">Требования к коду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Обязательное соблюдение стиля кода: отсутствие транслитераций в названиях переменных, функций, классов и.т.д; все идентификаторы должны быть “говорящими, то есть по названию должен быть понятен смысл идентификатора; вложенность блоков должна быть обозначена табуляцией; каждому .cpp файлу (кроме файла с ф-цией main) должен соответствовать .h файл; в каждом .h файле объявлен только 1 класс.</w:t>
        <w:br w:type="textWrapping"/>
      </w:r>
      <w:r w:rsidDel="00000000" w:rsidR="00000000" w:rsidRPr="00000000">
        <w:rPr>
          <w:i w:val="1"/>
          <w:rtl w:val="0"/>
        </w:rPr>
        <w:t xml:space="preserve">Гайд по стилю для примера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https://google.github.io/styleguide/cppguide.html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Весь проект должен быть написан в ООП стиле. Все функции кроме main должны быть методами классов.  Количество static методов должно быть минимально, а их использование четко обосновано. В функции main должна быть только инициализация необходимых объектов и запуск логики.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Весь код должен быть написан на чистом C++ с использованием стандартной библиотеки. Сторонние библиотеки можно использовать только для написания GUI или CLI. </w:t>
      </w:r>
      <w:r w:rsidDel="00000000" w:rsidR="00000000" w:rsidRPr="00000000">
        <w:rPr>
          <w:i w:val="1"/>
          <w:highlight w:val="yellow"/>
          <w:rtl w:val="0"/>
        </w:rPr>
        <w:t xml:space="preserve">Исключение, библиотеки по работе с файлами, например JSON, но не библиотеки, которые реализуют больше логики чем работа с файлами (например, серализация/десериализация)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Все классы должны реализованы так, чтобы гарантировалось сохранение инварианта.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Запрещается дублирование кода, в том числе смысловое.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Не должно быть “божественных” классов.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ovxo88se6wr1" w:id="2"/>
      <w:bookmarkEnd w:id="2"/>
      <w:r w:rsidDel="00000000" w:rsidR="00000000" w:rsidRPr="00000000">
        <w:rPr>
          <w:rtl w:val="0"/>
        </w:rPr>
        <w:t xml:space="preserve">Требования к отчету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Отчет должен быть оформлен согласно шаблону с ЛЭТИ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Для каждой лаб. работы должны быть UML-диаграммы классов. Диаграммы должны отображать только то, что было сделано в рамках лаб. работы.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Отчет должен содержать описание архитектурных решений. Недостаточно просто перечислить набор классов и методов, которые были разработаны. Необходимо указывать, для чего классы сделаны, почему они имеют такую реализацию, и как и почему классы связаны между собой.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В отчете должна быть отражена проверка классов и то, что программа работает.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4glnxgc0ik6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7ds8bno1usu7" w:id="4"/>
      <w:bookmarkEnd w:id="4"/>
      <w:r w:rsidDel="00000000" w:rsidR="00000000" w:rsidRPr="00000000">
        <w:rPr>
          <w:rtl w:val="0"/>
        </w:rPr>
        <w:t xml:space="preserve">Сроки сдачи лаб. работ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Сдача лаб. работы до дедлайна позволяет получить максимальный балл (10).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Если работа сдана до дедлайна на 8 и менее баллов, то</w:t>
      </w:r>
      <w:r w:rsidDel="00000000" w:rsidR="00000000" w:rsidRPr="00000000">
        <w:rPr>
          <w:b w:val="1"/>
          <w:rtl w:val="0"/>
        </w:rPr>
        <w:t xml:space="preserve"> при защите следующей лаб. работы </w:t>
      </w:r>
      <w:r w:rsidDel="00000000" w:rsidR="00000000" w:rsidRPr="00000000">
        <w:rPr>
          <w:rtl w:val="0"/>
        </w:rPr>
        <w:t xml:space="preserve">можно показать исправления и добрать до 9 баллов за лаб. работу. (для последней лаб. работы исправления показываются отдельно). </w:t>
      </w:r>
      <w:r w:rsidDel="00000000" w:rsidR="00000000" w:rsidRPr="00000000">
        <w:rPr>
          <w:i w:val="1"/>
          <w:rtl w:val="0"/>
        </w:rPr>
        <w:t xml:space="preserve">Если будет свободное время, то можно будет отдельно показать исправления, но только 1 раз.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Сдача лаб. работы в первый раз в течение недели после дедлайна оценивается максимум в 5 балла.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Сдача лаб. работы в первый раз через неделю после дедлайна оценивается максимум в 1 балл.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За одно занятие лаб. работу можно показать только </w:t>
      </w:r>
      <w:r w:rsidDel="00000000" w:rsidR="00000000" w:rsidRPr="00000000">
        <w:rPr>
          <w:b w:val="1"/>
          <w:rtl w:val="0"/>
        </w:rPr>
        <w:t xml:space="preserve">один </w:t>
      </w:r>
      <w:r w:rsidDel="00000000" w:rsidR="00000000" w:rsidRPr="00000000">
        <w:rPr>
          <w:rtl w:val="0"/>
        </w:rPr>
        <w:t xml:space="preserve">раз.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Таблица с дедлайнами и баллами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Даты могут быть скорректированы в течение семестра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*необязательные лаб. работы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530"/>
        <w:gridCol w:w="2700"/>
        <w:gridCol w:w="2325"/>
        <w:tblGridChange w:id="0">
          <w:tblGrid>
            <w:gridCol w:w="990"/>
            <w:gridCol w:w="1530"/>
            <w:gridCol w:w="270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ЛР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баллов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баллов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балл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06.10</w:t>
            </w:r>
            <w:r w:rsidDel="00000000" w:rsidR="00000000" w:rsidRPr="00000000">
              <w:rPr>
                <w:rtl w:val="0"/>
              </w:rPr>
              <w:t xml:space="preserve"> 15.10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13.10</w:t>
            </w:r>
            <w:r w:rsidDel="00000000" w:rsidR="00000000" w:rsidRPr="00000000">
              <w:rPr>
                <w:rtl w:val="0"/>
              </w:rPr>
              <w:t xml:space="preserve"> 22.10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после </w:t>
            </w:r>
            <w:r w:rsidDel="00000000" w:rsidR="00000000" w:rsidRPr="00000000">
              <w:rPr>
                <w:strike w:val="1"/>
                <w:rtl w:val="0"/>
              </w:rPr>
              <w:t xml:space="preserve">13.10</w:t>
            </w:r>
            <w:r w:rsidDel="00000000" w:rsidR="00000000" w:rsidRPr="00000000">
              <w:rPr>
                <w:rtl w:val="0"/>
              </w:rPr>
              <w:t xml:space="preserve"> 22.10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05.11 </w:t>
            </w:r>
            <w:r w:rsidDel="00000000" w:rsidR="00000000" w:rsidRPr="00000000">
              <w:rPr>
                <w:rtl w:val="0"/>
              </w:rPr>
              <w:t xml:space="preserve">12.11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12.11</w:t>
            </w:r>
            <w:r w:rsidDel="00000000" w:rsidR="00000000" w:rsidRPr="00000000">
              <w:rPr>
                <w:rtl w:val="0"/>
              </w:rPr>
              <w:t xml:space="preserve"> 19.11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</w:t>
            </w:r>
            <w:r w:rsidDel="00000000" w:rsidR="00000000" w:rsidRPr="00000000">
              <w:rPr>
                <w:strike w:val="1"/>
                <w:rtl w:val="0"/>
              </w:rPr>
              <w:t xml:space="preserve">12.11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10.12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29.12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e7745voimqhb" w:id="5"/>
      <w:bookmarkEnd w:id="5"/>
      <w:r w:rsidDel="00000000" w:rsidR="00000000" w:rsidRPr="00000000">
        <w:rPr>
          <w:rtl w:val="0"/>
        </w:rPr>
        <w:t xml:space="preserve">Оценка за семестр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Оценку за семестр можно получить на основании набранных баллов за работы, если сданы все 4 лаб. работы.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Можно воспользоваться возможностью поменять оценку сдав экзамен. В таком случае баллы “сгорают”.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Для допуска к экзамену (получению оценки) необходимо сдать первые 3 работ. В таком случае можно не выполнять лаб. работу 4, и экзамен сдается в обязательном порядке.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сданы 4 работы, но не набрано достаточное кол-во баллов, то экзамен сдается в обязательном порядке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Соотношение оценки и кол-ва баллов (включительно)</w:t>
      </w:r>
    </w:p>
    <w:tbl>
      <w:tblPr>
        <w:tblStyle w:val="Table2"/>
        <w:tblW w:w="3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275"/>
        <w:tblGridChange w:id="0">
          <w:tblGrid>
            <w:gridCol w:w="229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t5as4iive8xr" w:id="6"/>
      <w:bookmarkEnd w:id="6"/>
      <w:r w:rsidDel="00000000" w:rsidR="00000000" w:rsidRPr="00000000">
        <w:rPr>
          <w:rtl w:val="0"/>
        </w:rPr>
        <w:t xml:space="preserve">Лабораторные работы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рамках лабораторных работ необходимо реализовать простую игру “морской бой с модификациями”, систему управления, сохранения и загрузки.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Запись на лаб. работы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Очередь формируется по дате заполнения формы. Очередь отражается в соответствующих таблицах. Записывать нужно за день до занятия до 12:00 (например, если занятие в понедельник, то записываться надо до 12:00 воскресенья).</w:t>
      </w:r>
    </w:p>
    <w:p w:rsidR="00000000" w:rsidDel="00000000" w:rsidP="00000000" w:rsidRDefault="00000000" w:rsidRPr="00000000" w14:paraId="00000045">
      <w:pPr>
        <w:rPr>
          <w:b w:val="1"/>
          <w:shd w:fill="ea9999" w:val="clear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Записываться только в случае если работа сделана и готова к защите!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Если хотите прийти и показать только исправления, то в форме нужно отметить соответствующую галочку. При формировании очереди приоритет у тех, кто сдает лаб. работу.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Если будет записано меньше 5 человек в очередь, то занятие проводиться не будет.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Ссылки на запись: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3341 и 3342: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https://forms.gle/BRidvDbyNDRMyk7UA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3343 и 3344: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https://forms.gle/xP4i6ChRgJJThAQN6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3381 и 3382: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https://forms.gle/YgkHCHrwujYYYBcw7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3383 и 3384: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https://forms.gle/A5RnKfJnJdMbQ3Pq8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3385 и 3388: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https://forms.gle/kgGFtGNK4cfkP53JA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u2aqjtrlj4fo" w:id="7"/>
      <w:bookmarkEnd w:id="7"/>
      <w:r w:rsidDel="00000000" w:rsidR="00000000" w:rsidRPr="00000000">
        <w:rPr>
          <w:rtl w:val="0"/>
        </w:rPr>
        <w:t xml:space="preserve">Лабораторная работа №1 - Создание классов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firstLine="705"/>
        <w:jc w:val="both"/>
      </w:pPr>
      <w:r w:rsidDel="00000000" w:rsidR="00000000" w:rsidRPr="00000000">
        <w:rPr>
          <w:rtl w:val="0"/>
        </w:rPr>
        <w:t xml:space="preserve"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firstLine="705"/>
        <w:jc w:val="both"/>
      </w:pPr>
      <w:r w:rsidDel="00000000" w:rsidR="00000000" w:rsidRPr="00000000">
        <w:rPr>
          <w:rtl w:val="0"/>
        </w:rPr>
        <w:t xml:space="preserve"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firstLine="705"/>
        <w:jc w:val="both"/>
      </w:pPr>
      <w:r w:rsidDel="00000000" w:rsidR="00000000" w:rsidRPr="00000000">
        <w:rPr>
          <w:rtl w:val="0"/>
        </w:rPr>
        <w:t xml:space="preserve"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Каждая клетка игрового поля имеет три статуса: 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firstLine="705"/>
        <w:jc w:val="both"/>
      </w:pPr>
      <w:r w:rsidDel="00000000" w:rsidR="00000000" w:rsidRPr="00000000">
        <w:rPr>
          <w:rtl w:val="0"/>
        </w:rPr>
        <w:t xml:space="preserve">неизвестно (изначально вражеское поле полностью неизвестно), 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firstLine="705"/>
        <w:jc w:val="both"/>
      </w:pPr>
      <w:r w:rsidDel="00000000" w:rsidR="00000000" w:rsidRPr="00000000">
        <w:rPr>
          <w:rtl w:val="0"/>
        </w:rPr>
        <w:t xml:space="preserve">пустая (если на клетке ничего нет)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firstLine="705"/>
        <w:jc w:val="both"/>
      </w:pPr>
      <w:r w:rsidDel="00000000" w:rsidR="00000000" w:rsidRPr="00000000">
        <w:rPr>
          <w:rtl w:val="0"/>
        </w:rPr>
        <w:t xml:space="preserve">корабль (если в клетке находится один из сегментов корабля).</w:t>
      </w:r>
    </w:p>
    <w:p w:rsidR="00000000" w:rsidDel="00000000" w:rsidP="00000000" w:rsidRDefault="00000000" w:rsidRPr="00000000" w14:paraId="00000057">
      <w:pPr>
        <w:ind w:firstLine="705"/>
        <w:jc w:val="both"/>
        <w:rPr/>
      </w:pPr>
      <w:r w:rsidDel="00000000" w:rsidR="00000000" w:rsidRPr="00000000">
        <w:rPr>
          <w:rtl w:val="0"/>
        </w:rPr>
        <w:t xml:space="preserve"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Примечания: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Не забывайте для полей и методов определять модификаторы доступа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Для обозначения переменной, которая принимает небольшое ограниченное количество значений, используйте enum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Не используйте глобальные переменные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При реализации копирования нужно выполнять глубокое копирование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При реализации перемещения, не должно быть лишнего копирования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При выделении памяти делайте проверку на переданные значения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У поля не должно быть методов возвращающих указатель на поле в явном виде, так как это небезопасно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tlx4fk7du2mb" w:id="8"/>
      <w:bookmarkEnd w:id="8"/>
      <w:r w:rsidDel="00000000" w:rsidR="00000000" w:rsidRPr="00000000">
        <w:rPr>
          <w:rtl w:val="0"/>
        </w:rPr>
        <w:t xml:space="preserve">Лабораторная работа №2 - Полиморфизм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Создать класс-интерфейс способности, которую игрок может применять. Через наследование создать 3 разные способности: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Двойной урон - следующая атак при попадании по кораблю нанесет сразу 2 урона (уничтожит сегмент).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Сканер - позволяет проверить участок поля 2х2 клетки и узнать, есть ли там сегмент корабля. Клетки не меняют свой статус.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Обстрел - наносит 1 урон случайному сегменту случайного корабля. Клетки не меняют свой статус.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Реализовать функционал получения одной случайной способности при уничтожении вражеского корабля. 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Реализуйте набор классов-исключений и их обработку для следующих ситуаций (можно добавить собственные):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Попытка применить способность, когда их нет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Размещение корабля вплотную или на пересечении с другим кораблем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Атака за границы поля</w:t>
      </w:r>
    </w:p>
    <w:p w:rsidR="00000000" w:rsidDel="00000000" w:rsidP="00000000" w:rsidRDefault="00000000" w:rsidRPr="00000000" w14:paraId="0000006B">
      <w:pPr>
        <w:ind w:firstLine="708.66141732283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Примечания: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Интерфейс события должен быть унифицирован, чтобы их можно было единообразно использовать через интерфейс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Не должно быть явных проверок на тип данных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ph1dub7cje85" w:id="9"/>
      <w:bookmarkEnd w:id="9"/>
      <w:r w:rsidDel="00000000" w:rsidR="00000000" w:rsidRPr="00000000">
        <w:rPr>
          <w:rtl w:val="0"/>
        </w:rPr>
        <w:t xml:space="preserve">Лабораторная работа №3 - Связывание классов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Создать класс игры, который реализует следующий игровой цикл: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Начало игры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В случае проигрыша пользователь начинает новую игру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В случае победы в раунде, начинается следующий раунд, причем состояние поля и способностей пользователя переносятся.</w:t>
      </w:r>
    </w:p>
    <w:p w:rsidR="00000000" w:rsidDel="00000000" w:rsidP="00000000" w:rsidRDefault="00000000" w:rsidRPr="00000000" w14:paraId="00000074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:rsidR="00000000" w:rsidDel="00000000" w:rsidP="00000000" w:rsidRDefault="00000000" w:rsidRPr="00000000" w14:paraId="00000076">
      <w:pPr>
        <w:ind w:firstLine="708.66141732283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Примечание: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Класс игры может знать о игровых сущностях, но не наоборот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Игровые сущности не должны сами порождать объекты состояния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Для управления самое игрой можно использовать обертки над командами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При работе с файлом используйте идиому RAII.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q7t7t7ge3kwx" w:id="10"/>
      <w:bookmarkEnd w:id="10"/>
      <w:r w:rsidDel="00000000" w:rsidR="00000000" w:rsidRPr="00000000">
        <w:rPr>
          <w:rtl w:val="0"/>
        </w:rPr>
        <w:t xml:space="preserve">*Лабораторная работа №4 - Шаблонные классы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Реализовать класс, отвечающий за отрисовку поля.</w:t>
      </w:r>
    </w:p>
    <w:p w:rsidR="00000000" w:rsidDel="00000000" w:rsidP="00000000" w:rsidRDefault="00000000" w:rsidRPr="00000000" w14:paraId="00000080">
      <w:pPr>
        <w:ind w:firstLine="708.66141732283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Примечание: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 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Для представления команды можно разработать системы классов или использовать перечисление enum.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firstLine="708.6614173228347"/>
        <w:jc w:val="both"/>
      </w:pPr>
      <w:r w:rsidDel="00000000" w:rsidR="00000000" w:rsidRPr="00000000">
        <w:rPr>
          <w:rtl w:val="0"/>
        </w:rPr>
        <w:t xml:space="preserve">При считывания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orms.gle/kgGFtGNK4cfkP53JA" TargetMode="External"/><Relationship Id="rId10" Type="http://schemas.openxmlformats.org/officeDocument/2006/relationships/hyperlink" Target="https://forms.gle/A5RnKfJnJdMbQ3Pq8" TargetMode="External"/><Relationship Id="rId9" Type="http://schemas.openxmlformats.org/officeDocument/2006/relationships/hyperlink" Target="https://forms.gle/YgkHCHrwujYYYBcw7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gle.github.io/styleguide/cppguide.html" TargetMode="External"/><Relationship Id="rId7" Type="http://schemas.openxmlformats.org/officeDocument/2006/relationships/hyperlink" Target="https://forms.gle/BRidvDbyNDRMyk7UA" TargetMode="External"/><Relationship Id="rId8" Type="http://schemas.openxmlformats.org/officeDocument/2006/relationships/hyperlink" Target="https://forms.gle/xP4i6ChRgJJThAQN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